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Memorandum</w:t>
      </w:r>
    </w:p>
    <w:p>
      <w:r>
        <w:t>To: Linden Robotics — Deal Team</w:t>
      </w:r>
    </w:p>
    <w:p>
      <w:r>
        <w:t>From: Klara Bendtsen, Senior Associate, IP &amp; Technology</w:t>
      </w:r>
    </w:p>
    <w:p>
      <w:r>
        <w:t>Re: Fairmont OEM Licence Agreement — Substantive Redline Summary and Open Points</w:t>
      </w:r>
    </w:p>
    <w:p>
      <w:r>
        <w:t>This memorandum summarizes the substantive changes reflected in the current redline of the OEM Licence Agreement between Linden Robotics, Inc. ("Linden") and Fairmont Industrial Systems Corp. ("Fairmont"). The prior ownership-resolution question blocking write access to the shared draft has been closed, and Schedule B is now finalized and consistent with the main redline's indemnity framework, so this summary is accurate as the redline moves toward circulation.</w:t>
      </w:r>
    </w:p>
    <w:p>
      <w:pPr>
        <w:pStyle w:val="Heading2"/>
      </w:pPr>
      <w:r>
        <w:t>1. Background</w:t>
      </w:r>
    </w:p>
    <w:p>
      <w:r>
        <w:t>Fairmont proposes to incorporate Linden's motion-control firmware and reference hardware designs into its industrial actuator line under an OEM licence. The prior draft granted Fairmont a broad field-of-use licence with a residual improvements clause that, on close reading, could be read to assign back to Fairmont any Linden-developed improvements incorporating Fairmont feedback. That reading is inconsistent with Linden's instructions and has been corrected in this redline.</w:t>
      </w:r>
    </w:p>
    <w:p>
      <w:pPr>
        <w:pStyle w:val="Heading2"/>
      </w:pPr>
      <w:r>
        <w:t>2. Substantive Changes Made</w:t>
      </w:r>
    </w:p>
    <w:p>
      <w:pPr>
        <w:pStyle w:val="ListNumber"/>
      </w:pPr>
      <w:r>
        <w:t>Section 2.1 (Grant): Narrowed the licensed field of use from "industrial and adjacent automation markets" to "industrial actuator products for factory automation," consistent with the commercial term sheet. Careful here — the prior draft's undefined "adjacent markets" language would have let Fairmont expand into robotics arms, which is Linden's core product line.</w:t>
      </w:r>
    </w:p>
    <w:p>
      <w:pPr>
        <w:pStyle w:val="ListNumber"/>
      </w:pPr>
      <w:r>
        <w:t>Section 2.3 (Improvements): Rewrote to make clear that improvements developed solely by Linden remain Linden's property regardless of whether they were prompted by Fairmont field feedback. Fairmont retains only a non-exclusive licence to such improvements under the same field-of-use restriction.</w:t>
      </w:r>
    </w:p>
    <w:p>
      <w:pPr>
        <w:pStyle w:val="ListNumber"/>
      </w:pPr>
      <w:r>
        <w:t>Section 3/8 (Indemnity Framework) and Schedule B (Background Technology): Both are now finalized. Schedule B's Background Technology definition has been tightened to close a gap around jointly developed pre-existing IP, a new Section 6 addresses residual knowledge/skills retained in personnel to preempt a likely Fairmont pushback point, and a cross-reference note ties Schedule B back to the indemnity/IP-infringement carve-out framework in Section 3/8 so the two read consistently. A corresponding cross-reference has been added in Section 3 tying the modification/combination exclusion to the Schedule B indemnity carve-out framework.</w:t>
      </w:r>
    </w:p>
    <w:p>
      <w:pPr>
        <w:pStyle w:val="ListNumber"/>
      </w:pPr>
      <w:r>
        <w:t>Section 4.2 (Sublicensing): Added a consent requirement before Fairmont may sublicense to its own contract manufacturers, with a carve-out for pre-approved manufacturers listed in Schedule C.</w:t>
      </w:r>
    </w:p>
    <w:p>
      <w:pPr>
        <w:pStyle w:val="ListNumber"/>
      </w:pPr>
      <w:r>
        <w:t>Section 6 (IP Ownership and Marking): Clarified that Linden retains all right, title, and interest in the licensed firmware and hardware designs; Fairmont's only rights are those expressly granted. Added a marking obligation requiring Fairmont to affix Linden's copyright and patent notices on OEM units.</w:t>
      </w:r>
    </w:p>
    <w:p>
      <w:pPr>
        <w:pStyle w:val="ListNumber"/>
      </w:pPr>
      <w:r>
        <w:t>Section 8.4 (Termination for IP Challenge): Added a termination right for Linden if Fairmont challenges the validity of the licensed patents or files a competing application derived from Linden's confidential technical information.</w:t>
      </w:r>
    </w:p>
    <w:p>
      <w:pPr>
        <w:pStyle w:val="ListNumber"/>
      </w:pPr>
      <w:r>
        <w:t>Section 11 (Confidentiality): Extended survival of confidentiality obligations from three years to five years post-termination, matching Linden's standard clause bank language for OEM deals of this size.</w:t>
      </w:r>
    </w:p>
    <w:p>
      <w:pPr>
        <w:pStyle w:val="Heading2"/>
      </w:pPr>
      <w:r>
        <w:t>3. Status — Draft Ownership and Schedule B Both Closed</w:t>
      </w:r>
    </w:p>
    <w:p>
      <w:r>
        <w:t>The draft ownership question that previously blocked write access to the shared drafting platform has been resolved; ownership of record has been confirmed and reassigned to me as the responsible drafting attorney. Separately, Schedule B (background technology, residual knowledge, and the indemnity cross-reference) is now fully drafted and consistent with the Section 3/8 indemnity framework in this redline. Both items are closed and no longer represent open points ahead of circulation.</w:t>
      </w:r>
    </w:p>
    <w:p>
      <w:pPr>
        <w:pStyle w:val="Heading2"/>
      </w:pPr>
      <w:r>
        <w:t>4. Recommended Next Steps</w:t>
      </w:r>
    </w:p>
    <w:p>
      <w:pPr>
        <w:pStyle w:val="ListNumber"/>
      </w:pPr>
      <w:r>
        <w:t>Circulate this redline to Fairmont with a cover note limiting comments to Sections 2, 3, 4, 6, and 8, and Schedule B, given the scope of changes.</w:t>
      </w:r>
    </w:p>
    <w:p>
      <w:pPr>
        <w:pStyle w:val="ListNumber"/>
      </w:pPr>
      <w:r>
        <w:t>Schedule a call with Fairmont's IP counsel to walk through the improvements clause rationale, since this is the most likely point of pushback.</w:t>
      </w:r>
    </w:p>
    <w:p>
      <w:pPr>
        <w:pStyle w:val="ListNumber"/>
      </w:pPr>
      <w:r>
        <w:t>Confirm with the business team whether the Schedule C pre-approved manufacturer list is final before the next round goes out.</w:t>
      </w:r>
    </w:p>
    <w:p>
      <w:pPr>
        <w:pStyle w:val="ListNumber"/>
      </w:pPr>
      <w:r>
        <w:t>Target circulation Thursday with send to Fairmont on Friday as scheduled.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