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File — Linden Robotics / Fairmont OEM Licence</w:t>
      </w:r>
    </w:p>
    <w:p>
      <w:r>
        <w:t>From: Klara Bendtsen, Senior Associate, IP &amp; Technology</w:t>
      </w:r>
    </w:p>
    <w:p>
      <w:r>
        <w:t>Re: Chain-of-Access Anomaly Flagged by Noor — Deshmukh Control-Loop Source Repository</w:t>
      </w:r>
    </w:p>
    <w:p>
      <w:pPr>
        <w:pStyle w:val="Heading2"/>
      </w:pPr>
      <w:r>
        <w:t>1. Background</w:t>
      </w:r>
    </w:p>
    <w:p>
      <w:r>
        <w:t>This memorandum records the preliminary review undertaken following Noor's flag of an access anomaly in the control-loop source repository associated with the Deshmukh engineering workstream. The repository in question contains the control-loop algorithms and calibration data that are central to the Fairmont OEM licence negotiation, and any irregularity in access logging bears directly on our ability to represent the integrity of the licensed technology's provenance to Fairmont's counsel.</w:t>
      </w:r>
    </w:p>
    <w:p>
      <w:pPr>
        <w:pStyle w:val="Heading2"/>
      </w:pPr>
      <w:r>
        <w:t>2. The Anomaly</w:t>
      </w:r>
    </w:p>
    <w:p>
      <w:r>
        <w:t>Noor's review of the repository's access logs identified a cluster of read and clone events attributed to a credential associated with a departed contractor account that, per HR records, was scheduled for deactivation prior to the dates in question. The access events occurred outside the contractor's documented engagement window and included clone operations against branches containing unreleased calibration parameters.</w:t>
      </w:r>
    </w:p>
    <w:p>
      <w:pPr>
        <w:pStyle w:val="ListNumber"/>
      </w:pPr>
      <w:r>
        <w:t>Credential: contractor account flagged as terminated per offboarding record dated three weeks prior to the anomalous access.</w:t>
      </w:r>
    </w:p>
    <w:p>
      <w:pPr>
        <w:pStyle w:val="ListNumber"/>
      </w:pPr>
      <w:r>
        <w:t>Access window: repeated read/clone activity spanning a four-day period, concentrated outside normal business hours.</w:t>
      </w:r>
    </w:p>
    <w:p>
      <w:pPr>
        <w:pStyle w:val="ListNumber"/>
      </w:pPr>
      <w:r>
        <w:t>Scope: access reached branches containing pre-release calibration tables not yet incorporated into the licensed build slated for Fairmont.</w:t>
      </w:r>
    </w:p>
    <w:p>
      <w:pPr>
        <w:pStyle w:val="ListNumber"/>
      </w:pPr>
      <w:r>
        <w:t>No corresponding ticket, change request, or manager authorization exists for this access.</w:t>
      </w:r>
    </w:p>
    <w:p>
      <w:pPr>
        <w:pStyle w:val="Heading2"/>
      </w:pPr>
      <w:r>
        <w:t>3. Preliminary Legal Assessment</w:t>
      </w:r>
    </w:p>
    <w:p>
      <w:r>
        <w:t>careful here — if the credential was in fact used post-termination by the former contractor or by a third party, this raises both a trade-secret exposure issue (unauthorized access to unreleased calibration data that qualifies for trade-secret protection under our standard confidentiality architecture) and a disclosure-schedule concern for the Fairmont licence, since the OEM licence representations as drafted warrant that the licensed technology has not been subject to unauthorized access or exfiltration.</w:t>
      </w:r>
    </w:p>
    <w:p>
      <w:r>
        <w:t>The unreleased calibration tables reached by the anomalous access are not yet covered by the OEM licence grant and their exposure could compromise Linden's negotiating position on the scope of the licence if a competitor or former employee obtained the data. This is squarely the fact pattern our trade-secret preservation protocol is built for: prompt written notice to the individual, a preservation letter to any known new employer, and forensic imaging of relevant devices before evidence degrades.</w:t>
      </w:r>
    </w:p>
    <w:p>
      <w:pPr>
        <w:pStyle w:val="Heading2"/>
      </w:pPr>
      <w:r>
        <w:t>4. Recommended Next Steps</w:t>
      </w:r>
    </w:p>
    <w:p>
      <w:pPr>
        <w:pStyle w:val="ListNumber"/>
      </w:pPr>
      <w:r>
        <w:t>Engage forensic IT promptly to image the affected repository server and preserve full access logs before any rotation or retention-policy deletion occurs.</w:t>
      </w:r>
    </w:p>
    <w:p>
      <w:pPr>
        <w:pStyle w:val="ListNumber"/>
      </w:pPr>
      <w:r>
        <w:t>Confirm with HR and IT the exact deactivation date for the contractor credential and reconcile against the offboarding checklist.</w:t>
      </w:r>
    </w:p>
    <w:p>
      <w:pPr>
        <w:pStyle w:val="ListNumber"/>
      </w:pPr>
      <w:r>
        <w:t>Prepare a litigation-hold notice covering the contractor's known devices and any personal cloud storage identified in the offboarding exit interview, if one was conducted.</w:t>
      </w:r>
    </w:p>
    <w:p>
      <w:pPr>
        <w:pStyle w:val="ListNumber"/>
      </w:pPr>
      <w:r>
        <w:t>Assess whether the anomaly requires an update to the Fairmont OEM licence disclosure schedule regarding the integrity and access history of licensed materials.</w:t>
      </w:r>
    </w:p>
    <w:p>
      <w:pPr>
        <w:pStyle w:val="ListNumber"/>
      </w:pPr>
      <w:r>
        <w:t>Hold discussion with engagement partner before any outreach to the former contractor, given potential for this to become adversarial.</w:t>
      </w:r>
    </w:p>
    <w:p>
      <w:pPr>
        <w:pStyle w:val="Heading2"/>
      </w:pPr>
      <w:r>
        <w:t>5. Open Questions</w:t>
      </w:r>
    </w:p>
    <w:p>
      <w:pPr>
        <w:pStyle w:val="ListBullet"/>
      </w:pPr>
      <w:r>
        <w:t>Was the contractor's credential shared or reused by another individual, per access-control policy violations noted elsewhere in the repository?</w:t>
      </w:r>
    </w:p>
    <w:p>
      <w:pPr>
        <w:pStyle w:val="ListBullet"/>
      </w:pPr>
      <w:r>
        <w:t>Does the calibration data reached fall within the scope of the invention-assignment and confidentiality agreement executed by the contractor at engagement?</w:t>
      </w:r>
    </w:p>
    <w:p>
      <w:pPr>
        <w:pStyle w:val="ListBullet"/>
      </w:pPr>
      <w:r>
        <w:t>Is there a plausible business justification (e.g., a delayed support ticket) that would explain the access, pending confirmation from engineering leadership?</w:t>
      </w:r>
    </w:p>
    <w:p>
      <w:r>
        <w:t>This memorandum is preliminary and will be updated once forensic imaging results and the HR offboarding reconciliation are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