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OEM Licence Agreement — Linden Robotics / Fairmont</w:t>
      </w:r>
    </w:p>
    <w:p>
      <w:r>
        <w:t>Draft redline circulated for internal review prior to markup being sent to Fairmont's counsel. Comments below track proposed changes to Fairmont's draft dated as provided, continuing the markup pass begun in yesterday's redlines with further tightening of IP ownership, sublicensing, and field-of-use clauses, and now extending to the data-processing terms flagged for today's pass. This document is not final and remains subject to partner review.</w:t>
      </w:r>
    </w:p>
    <w:p>
      <w:pPr>
        <w:pStyle w:val="Heading2"/>
      </w:pPr>
      <w:r>
        <w:t>1. Scope of Licence</w:t>
      </w:r>
    </w:p>
    <w:p>
      <w:r>
        <w:t>Section 2.1 (Grant): Fairmont's draft grants a worldwide, royalty-bearing licence to embed Linden's motion-control firmware in Fairmont's branded robotic arms. Proposed edit: narrow the field of use to "industrial robotic arms sold under the Fairmont brand for warehouse and light-manufacturing applications" — the current draft is broad enough to cover consumer robotics, which is outside what was negotiated on the term sheet. Further narrowing per yesterday's redline: exclude any use of the firmware in aftermarket kits, third-party integration projects, or any product not sold directly under the Fairmont brand — Fairmont's distribution partners should not be able to bundle the firmware into non-Fairmont-branded offerings.</w:t>
      </w:r>
    </w:p>
    <w:p>
      <w:r>
        <w:t>Section 2.3 (Sublicensing): Strike Fairmont's proposed right to sublicense to "Affiliates and contract manufacturers" without consent. Replace with a consent-required sublicense to named contract manufacturers only, consent not to be unreasonably withheld. Rationale: Linden needs visibility into who is handling the firmware given the trade-secret sensitivity of the motion-control algorithms. Additional tightening: any named contract manufacturer must first execute a confidentiality and restricted-access undertaking in the form of Linden's standard exhibit before receiving firmware access; Fairmont to provide the executed undertaking to Linden within 5 business days of onboarding any new contract manufacturer.</w:t>
      </w:r>
    </w:p>
    <w:p>
      <w:r>
        <w:t>Section 2.4 (new — IP Ownership): Add a standalone ownership clause confirming that Linden retains all right, title, and interest in the licensed firmware, all underlying source code, calibration data, and any Linden background IP incorporated therein, whether or not specifically identified. Fairmont's ownership is limited to its own branding, housing design, and mechanical integration work, and expressly excludes any modification, derivative, or improvement to the firmware itself, which vests in Linden notwithstanding Fairmont's development effort. This clause is intended to close a gap in Fairmont's draft, which is silent on ownership of firmware modifications and could otherwise be read to support a joint-ownership argument.</w:t>
      </w:r>
    </w:p>
    <w:p>
      <w:pPr>
        <w:pStyle w:val="Heading2"/>
      </w:pPr>
      <w:r>
        <w:t>2. Indemnification and Liability Cap</w:t>
      </w:r>
    </w:p>
    <w:p>
      <w:r>
        <w:t>Section 8.2 (Cap): Fairmont's draft proposes an indemnity cap of one times (1x) trailing twelve-month fees paid under the agreement, with no carve-outs. Proposed markup: cap at two times (2x) fees, with an uncapped carve-out for breach of confidentiality and IP infringement claims arising from Fairmont's modification of the licensed firmware.</w:t>
      </w:r>
    </w:p>
    <w:p>
      <w:r>
        <w:t>careful here — Fairmont's litigation counsel has pushed back hard on carve-outs in two prior deals we've seen; expect resistance. Hold at 2x with the carve-out as our opening position; do not concede to 1x without escalating to partner.</w:t>
      </w:r>
    </w:p>
    <w:p>
      <w:r>
        <w:t>Section 8.4 (IP Infringement Indemnity): Add a standalone, uncapped indemnity running from Fairmont to Linden for any infringement claim arising out of Fairmont's unauthorized modification or reverse engineering of the firmware. This is separate from the general cap above and should not be conflated with it in Fairmont's response.</w:t>
      </w:r>
    </w:p>
    <w:p>
      <w:pPr>
        <w:pStyle w:val="Heading2"/>
      </w:pPr>
      <w:r>
        <w:t>3. Trade Secret and Confidentiality Provisions</w:t>
      </w:r>
    </w:p>
    <w:p>
      <w:r>
        <w:t>Section 6 (Confidentiality): Add a new Section 6.5 requiring Fairmont to maintain the firmware source and calibration data in a segregated, access-logged environment, with audit rights for Linden on 30 days' notice, no more than twice per year. This responds to Linden's stated concern about firmware leakage to Fairmont's downstream contract manufacturers.</w:t>
      </w:r>
    </w:p>
    <w:p>
      <w:r>
        <w:t>Section 6.6 (new): On termination, Fairmont must certify destruction of all firmware copies and calibration datasets within 30 days, with a designated officer signing the certification. This is standard in our recent OEM licences and should not be controversial.</w:t>
      </w:r>
    </w:p>
    <w:p>
      <w:pPr>
        <w:pStyle w:val="Heading2"/>
      </w:pPr>
      <w:r>
        <w:t>4. Data-Processing Terms</w:t>
      </w:r>
    </w:p>
    <w:p>
      <w:r>
        <w:t>Section 9.1 (Scope of Processing): Fairmont's draft does not currently address what operational or diagnostic data the firmware collects from deployed robotic arms. Proposed markup: add a defined term for "Diagnostic Data" limited to firmware performance logs, calibration telemetry, and error/fault codes, and expressly exclude any end-customer personal data or Fairmont proprietary manufacturing data from the licence's data-processing scope — Linden should not be positioned as a processor of Fairmont's customer data under this agreement.</w:t>
      </w:r>
    </w:p>
    <w:p>
      <w:r>
        <w:t>Section 9.2 (Purpose Limitation): Add language restricting Linden's use of any Diagnostic Data it receives to firmware maintenance, support, and improvement purposes only, with no right to use such data for product development outside the Fairmont relationship absent separate written consent. This addresses a gap in Fairmont's draft, which currently grants no purpose limitation at all on data returned to Linden.</w:t>
      </w:r>
    </w:p>
    <w:p>
      <w:r>
        <w:t>Section 9.3 (Data Location and Transfer): Add a requirement that any Diagnostic Data transmitted from Fairmont's deployed units to Linden be routed through Linden's designated infrastructure only, with no onward transfer to Fairmont's contract manufacturers or other third parties without Linden's prior written consent — this dovetails with the Section 2.3 sublicensing tightening, so a contract manufacturer's access to firmware does not implicitly extend to Diagnostic Data.</w:t>
      </w:r>
    </w:p>
    <w:p>
      <w:r>
        <w:t>Section 9.4 (Breach Notification): Add a mutual obligation to notify the other party within 72 hours of discovering any unauthorized access to or exposure of Diagnostic Data, calibration data, or firmware source, with a cooperation obligation for any resulting investigation. careful here — Fairmont's draft has no breach-notification clause at all for this category; expect it to be raised as a new burden rather than something they push back on substantively, but flag if their downstream contract manufacturers create a longer effective notification chain in practice.</w:t>
      </w:r>
    </w:p>
    <w:p>
      <w:r>
        <w:t>Section 9.5 (Subprocessor Flow-Down): Require that any contract manufacturer named under Section 2.3 be bound by data-handling obligations no less protective than Sections 9.1–9.4, incorporated by reference into the confidentiality and restricted-access undertaking already required under Section 2.3. This avoids drafting a parallel data-processing addendum and keeps the trade-secret and data-processing protections on the same contractual hook.</w:t>
      </w:r>
    </w:p>
    <w:p>
      <w:pPr>
        <w:pStyle w:val="Heading2"/>
      </w:pPr>
      <w:r>
        <w:t>5. Term and Termination</w:t>
      </w:r>
    </w:p>
    <w:p>
      <w:r>
        <w:t>Section 10.1: Fairmont's draft is silent on termination for repeated material breach short of insolvency. Add a cure period of 30 days for the first breach and immediate termination right on a second breach of the same provision within 12 months.</w:t>
      </w:r>
    </w:p>
    <w:p>
      <w:pPr>
        <w:pStyle w:val="Heading2"/>
      </w:pPr>
      <w:r>
        <w:t>6. Open Items for Partner Review</w:t>
      </w:r>
    </w:p>
    <w:p>
      <w:pPr>
        <w:pStyle w:val="ListNumber"/>
      </w:pPr>
      <w:r>
        <w:t>Confirm whether the 2x cap / carve-out position is our true opening ask or whether we should open higher given Fairmont's litigation history.</w:t>
      </w:r>
    </w:p>
    <w:p>
      <w:pPr>
        <w:pStyle w:val="ListNumber"/>
      </w:pPr>
      <w:r>
        <w:t>Fairmont has not yet responded on royalty step-downs at volume — flagged separately, not part of this redline.</w:t>
      </w:r>
    </w:p>
    <w:p>
      <w:pPr>
        <w:pStyle w:val="ListNumber"/>
      </w:pPr>
      <w:r>
        <w:t>Need client confirmation on which contract manufacturers Fairmont intends to name under Section 2.3 before we finalize consent language.</w:t>
      </w:r>
    </w:p>
    <w:p>
      <w:pPr>
        <w:pStyle w:val="ListNumber"/>
      </w:pPr>
      <w:r>
        <w:t>Confirm client is comfortable with the new Section 2.4 ownership language vesting all firmware modifications in Linden — Fairmont's engineering team may object given their integration investment.</w:t>
      </w:r>
    </w:p>
    <w:p>
      <w:pPr>
        <w:pStyle w:val="ListNumber"/>
      </w:pPr>
      <w:r>
        <w:t>Confirm client's preference on data residency for Diagnostic Data under new Section 9.3 — no instructions yet on whether Linden's infrastructure needs to be region-specific for any Fairmont deployments outside North America.</w:t>
      </w:r>
    </w:p>
    <w:p>
      <w:r>
        <w:t>Next step: send this markup to Linden's GC for sign-off on the indemnity position and the new data-processing terms before transmitting to Fairmont's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