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Exposure Assessment — Linden Robotics v. Pryor</w:t>
      </w:r>
    </w:p>
    <w:p>
      <w:r>
        <w:t>Prepared for Marguerite Oyelaran. Privileged and confidential attorney work product. See record for all citations below.</w:t>
      </w:r>
    </w:p>
    <w:p>
      <w:pPr>
        <w:pStyle w:val="Heading2"/>
      </w:pPr>
      <w:r>
        <w:t>I. Posture</w:t>
      </w:r>
    </w:p>
    <w:p>
      <w:r>
        <w:t>Linden Robotics has asserted trade secret misappropriation against Pryor arising from Pryor's departure to a competitor and the alleged retention and use of Linden's proprietary calibration algorithms. Discovery is in its second phase. Pryor's counsel served a Second Request seeking custodian dates, device overlap, and feasibility documentation, which we are answering on the current schedule. No dispositive motions have been filed. Trial is not yet scheduled.</w:t>
      </w:r>
    </w:p>
    <w:p>
      <w:pPr>
        <w:pStyle w:val="Heading2"/>
      </w:pPr>
      <w:r>
        <w:t>II. Claims and Elements at Issue</w:t>
      </w:r>
    </w:p>
    <w:p>
      <w:pPr>
        <w:pStyle w:val="ListNumber"/>
      </w:pPr>
      <w:r>
        <w:t>Existence of a trade secret — the calibration algorithm set, as defined in the identification served with the complaint.</w:t>
      </w:r>
    </w:p>
    <w:p>
      <w:pPr>
        <w:pStyle w:val="ListNumber"/>
      </w:pPr>
      <w:r>
        <w:t>Reasonable measures to maintain secrecy — access controls, NDAs, and the confidentiality addendum in Pryor's employment agreement.</w:t>
      </w:r>
    </w:p>
    <w:p>
      <w:pPr>
        <w:pStyle w:val="ListNumber"/>
      </w:pPr>
      <w:r>
        <w:t>Misappropriation — improper acquisition, disclosure, or use by Pryor at the competitor entity.</w:t>
      </w:r>
    </w:p>
    <w:p>
      <w:pPr>
        <w:pStyle w:val="ListNumber"/>
      </w:pPr>
      <w:r>
        <w:t>Damages — unjust enrichment, actual loss, or, if willful and malicious, exemplary damages and fee-shifting.</w:t>
      </w:r>
    </w:p>
    <w:p>
      <w:pPr>
        <w:pStyle w:val="Heading2"/>
      </w:pPr>
      <w:r>
        <w:t>III. Evidentiary Strengths</w:t>
      </w:r>
    </w:p>
    <w:p>
      <w:pPr>
        <w:pStyle w:val="ListBullet"/>
      </w:pPr>
      <w:r>
        <w:t>Forensic imaging of Pryor's firm-issued laptop shows file transfers to a personal drive within 72 hours of resignation, timestamps consistent across two independent custodial exports.</w:t>
      </w:r>
    </w:p>
    <w:p>
      <w:pPr>
        <w:pStyle w:val="ListBullet"/>
      </w:pPr>
      <w:r>
        <w:t>Pryor's signed confidentiality addendum (2021) expressly enumerates the calibration algorithm repository as protected.</w:t>
      </w:r>
    </w:p>
    <w:p>
      <w:pPr>
        <w:pStyle w:val="ListBullet"/>
      </w:pPr>
      <w:r>
        <w:t>Access logs corroborate that Pryor's credentials touched the repository outside his ordinary job function in the final two weeks of employment.</w:t>
      </w:r>
    </w:p>
    <w:p>
      <w:pPr>
        <w:pStyle w:val="Heading2"/>
      </w:pPr>
      <w:r>
        <w:t>IV. Evidentiary Weaknesses and Exposure</w:t>
      </w:r>
    </w:p>
    <w:p>
      <w:pPr>
        <w:pStyle w:val="ListBullet"/>
      </w:pPr>
      <w:r>
        <w:t>Independent development defense is live: the competitor entity produced internal design documents predating Pryor's hire that show a materially similar calibration approach. This is the single largest exposure item and needs a rebuttal expert before the close of fact discovery.</w:t>
      </w:r>
    </w:p>
    <w:p>
      <w:pPr>
        <w:pStyle w:val="ListBullet"/>
      </w:pPr>
      <w:r>
        <w:t>Secrecy measures are inconsistently documented before 2020; Linden cannot show uniform NDA execution across the relevant engineering group prior to that date, which weakens the 'reasonable measures' element for any misappropriation alleged to predate 2020.</w:t>
      </w:r>
    </w:p>
    <w:p>
      <w:pPr>
        <w:pStyle w:val="ListBullet"/>
      </w:pPr>
      <w:r>
        <w:t>Damages model is not yet built. Without it we cannot credibly value the claim for settlement purposes or oppose a motion narrowing damages theories.</w:t>
      </w:r>
    </w:p>
    <w:p>
      <w:pPr>
        <w:pStyle w:val="Heading2"/>
      </w:pPr>
      <w:r>
        <w:t>V. Feasibility and Overlap Response (Second Request)</w:t>
      </w:r>
    </w:p>
    <w:p>
      <w:r>
        <w:t>Pryor's Second Request presses on device overlap and technical feasibility of independent recreation. Our response should concede the existence of the competitor's prior documents while contesting their sufficiency to establish independent development, and should limit custodian date ranges to the period supported by the forensic export rather than the broader range Pryor's counsel has proposed.</w:t>
      </w:r>
    </w:p>
    <w:p>
      <w:pPr>
        <w:pStyle w:val="Heading2"/>
      </w:pPr>
      <w:r>
        <w:t>VI. Recommended Next Steps</w:t>
      </w:r>
    </w:p>
    <w:p>
      <w:pPr>
        <w:pStyle w:val="ListNumber"/>
      </w:pPr>
      <w:r>
        <w:t>Retain a technical expert to assess the competitor's prior documents against the asserted trade secret definition — target retention within 10 days.</w:t>
      </w:r>
    </w:p>
    <w:p>
      <w:pPr>
        <w:pStyle w:val="ListNumber"/>
      </w:pPr>
      <w:r>
        <w:t>Build a damages model (unjust enrichment and reasonable royalty scenarios) before any settlement discussion.</w:t>
      </w:r>
    </w:p>
    <w:p>
      <w:pPr>
        <w:pStyle w:val="ListNumber"/>
      </w:pPr>
      <w:r>
        <w:t>Audit NDA execution records firm-wide for the engineering group, 2018–2020, to close the secrecy-measures gap or narrow the claim period voluntarily.</w:t>
      </w:r>
    </w:p>
    <w:p>
      <w:pPr>
        <w:pStyle w:val="ListNumber"/>
      </w:pPr>
      <w:r>
        <w:t>Finalize and serve the Second Request response on the current schedule; do not seek an extension given the competitor document production already narrows scope.</w:t>
      </w:r>
    </w:p>
    <w:p>
      <w:pPr>
        <w:pStyle w:val="Heading2"/>
      </w:pPr>
      <w:r>
        <w:t>VII. Overall Exposure</w:t>
      </w:r>
    </w:p>
    <w:p>
      <w:r>
        <w:t>Moderate-to-elevated exposure on liability if the independent development defense survives past summary judgment; damages exposure is currently unquantified and should not be represented to the client as bounded until the model above is complete. Recommend no settlement authority be requested until Sections V and VI items one and two are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