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Litigation File — Linden Robotics v. Pryor</w:t>
      </w:r>
    </w:p>
    <w:p>
      <w:r>
        <w:t>FROM: Bennett Ashworth, Partner</w:t>
      </w:r>
    </w:p>
    <w:p>
      <w:r>
        <w:t>RE: Response to Marguerite Oyelaran's Second Request for Production — Deadline, Scope, and Preserved Objections</w:t>
      </w:r>
    </w:p>
    <w:p>
      <w:r>
        <w:t>This memorandum sets the exact deadline for our response to the Second Request for Production served by Marguerite Oyelaran, counsel for Defendant Pryor, fixes the scope of documents to be produced, and preserves objections that must accompany the response. See record — the Second Request was served electronically; the applicable response period runs from the date of service under the governing rules of procedure.</w:t>
      </w:r>
    </w:p>
    <w:p>
      <w:pPr>
        <w:pStyle w:val="Heading2"/>
      </w:pPr>
      <w:r>
        <w:t>1. Deadline</w:t>
      </w:r>
    </w:p>
    <w:p>
      <w:r>
        <w:t>Response and any objections are due thirty (30) days from the date of service of the Second Request. Calendar entries have been placed on the docket for both the internal drafting deadline (seven days before the response date, to allow for partner review) and the filing/service deadline itself. No extension has been requested or granted. Oyelaran should be assumed to hold us to the rule deadline absent a written stipulation.</w:t>
      </w:r>
    </w:p>
    <w:p>
      <w:pPr>
        <w:pStyle w:val="Heading2"/>
      </w:pPr>
      <w:r>
        <w:t>2. Scope of the Second Request</w:t>
      </w:r>
    </w:p>
    <w:p>
      <w:r>
        <w:t>The Second Request, as served, seeks four categories of documents. Our position on scope for each category is set out below. This is the working scope for the team preparing the response; any narrowing must be documented in writing to Oyelaran, not agreed informally.</w:t>
      </w:r>
    </w:p>
    <w:p>
      <w:pPr>
        <w:pStyle w:val="ListNumber"/>
      </w:pPr>
      <w:r>
        <w:t>Category 1 — Communications concerning the disputed technical specifications between Linden Robotics personnel and any former employer of Pryor. Scope: produce non-privileged communications from the date Pryor's employment began through the date of his departure. Privileged communications to be logged, not produced.</w:t>
      </w:r>
    </w:p>
    <w:p>
      <w:pPr>
        <w:pStyle w:val="ListNumber"/>
      </w:pPr>
      <w:r>
        <w:t>Category 2 — All documents reflecting the development timeline of the process at issue. Scope: produce documents sufficient to establish the timeline; object to the request to the extent it seeks documents predating the priority date by more than 24 months as overbroad and not proportional to the needs of the case.</w:t>
      </w:r>
    </w:p>
    <w:p>
      <w:pPr>
        <w:pStyle w:val="ListNumber"/>
      </w:pPr>
      <w:r>
        <w:t>Category 3 — Financial records reflecting revenue attributable to the disputed process. Scope: object on grounds of relevance and disproportionality pending a showing of nexus to the trade secret claim; offer to produce aggregate figures under the protective order in lieu of underlying financials.</w:t>
      </w:r>
    </w:p>
    <w:p>
      <w:pPr>
        <w:pStyle w:val="ListNumber"/>
      </w:pPr>
      <w:r>
        <w:t>Category 4 — All documents Pryor provided to any prospective employer or investor referencing the disputed process. Scope: no objection; this category goes to the heart of misappropriation and should be produced in full to the extent in our client's possession, custody, or control.</w:t>
      </w:r>
    </w:p>
    <w:p>
      <w:pPr>
        <w:pStyle w:val="Heading2"/>
      </w:pPr>
      <w:r>
        <w:t>3. Objections to Be Preserved</w:t>
      </w:r>
    </w:p>
    <w:p>
      <w:r>
        <w:t>The following objections are to be stated in the written response regardless of whether documents are ultimately produced, so that nothing is waived:</w:t>
      </w:r>
    </w:p>
    <w:p>
      <w:pPr>
        <w:pStyle w:val="ListBullet"/>
      </w:pPr>
      <w:r>
        <w:t>Overbreadth and lack of proportionality as to Category 2 beyond the 24-month window.</w:t>
      </w:r>
    </w:p>
    <w:p>
      <w:pPr>
        <w:pStyle w:val="ListBullet"/>
      </w:pPr>
      <w:r>
        <w:t>Relevance and disproportionality as to Category 3 absent a showing of nexus.</w:t>
      </w:r>
    </w:p>
    <w:p>
      <w:pPr>
        <w:pStyle w:val="ListBullet"/>
      </w:pPr>
      <w:r>
        <w:t>Privilege and work-product protection, to be detailed in a forthcoming privilege log.</w:t>
      </w:r>
    </w:p>
    <w:p>
      <w:pPr>
        <w:pStyle w:val="ListBullet"/>
      </w:pPr>
      <w:r>
        <w:t>Reservation of the right to supplement the response as document review continues.</w:t>
      </w:r>
    </w:p>
    <w:p>
      <w:pPr>
        <w:pStyle w:val="Heading2"/>
      </w:pPr>
      <w:r>
        <w:t>4. Next Steps</w:t>
      </w:r>
    </w:p>
    <w:p>
      <w:pPr>
        <w:pStyle w:val="ListNumber"/>
      </w:pPr>
      <w:r>
        <w:t>Associates to complete first-pass review of Category 1 and Category 4 documents within ten days.</w:t>
      </w:r>
    </w:p>
    <w:p>
      <w:pPr>
        <w:pStyle w:val="ListNumber"/>
      </w:pPr>
      <w:r>
        <w:t>Senior paralegal to begin privilege log concurrently with review.</w:t>
      </w:r>
    </w:p>
    <w:p>
      <w:pPr>
        <w:pStyle w:val="ListNumber"/>
      </w:pPr>
      <w:r>
        <w:t>Draft written response and objections to circulate for partner review at the seven-day internal deadline.</w:t>
      </w:r>
    </w:p>
    <w:p>
      <w:pPr>
        <w:pStyle w:val="ListNumber"/>
      </w:pPr>
      <w:r>
        <w:t>Confer with Oyelaran only in writing regarding any proposed narrowing of Category 3; no informal agreements on scope.</w:t>
      </w:r>
    </w:p>
    <w:p>
      <w:r>
        <w:t>See record for the Second Request as served and the docket entries reflecting the deadlines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