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p>
      <w:r>
        <w:t>PRIVILEGED AND CONFIDENTIAL — ATTORNEY WORK PRODUCT</w:t>
      </w:r>
    </w:p>
    <w:tbl>
      <w:tblPr>
        <w:tblW w:type="auto" w:w="0"/>
        <w:tblLook w:firstColumn="1" w:firstRow="1" w:lastColumn="0" w:lastRow="0" w:noHBand="0" w:noVBand="1" w:val="04A0"/>
      </w:tblPr>
      <w:tblGrid>
        <w:gridCol w:w="4320"/>
        <w:gridCol w:w="4320"/>
      </w:tblGrid>
      <w:tr>
        <w:tc>
          <w:tcPr>
            <w:tcW w:type="dxa" w:w="4320"/>
          </w:tcPr>
          <w:p>
            <w:r/>
          </w:p>
        </w:tc>
        <w:tc>
          <w:tcPr>
            <w:tcW w:type="dxa" w:w="4320"/>
          </w:tcPr>
          <w:p>
            <w:r/>
          </w:p>
        </w:tc>
      </w:tr>
      <w:tr>
        <w:tc>
          <w:tcPr>
            <w:tcW w:type="dxa" w:w="4320"/>
          </w:tcPr>
          <w:p>
            <w:r>
              <w:t>To:</w:t>
            </w:r>
          </w:p>
        </w:tc>
        <w:tc>
          <w:tcPr>
            <w:tcW w:type="dxa" w:w="4320"/>
          </w:tcPr>
          <w:p>
            <w:r>
              <w:t>File — Linden Robotics v. Pryor</w:t>
            </w:r>
          </w:p>
        </w:tc>
      </w:tr>
      <w:tr>
        <w:tc>
          <w:tcPr>
            <w:tcW w:type="dxa" w:w="4320"/>
          </w:tcPr>
          <w:p>
            <w:r>
              <w:t>From:</w:t>
            </w:r>
          </w:p>
        </w:tc>
        <w:tc>
          <w:tcPr>
            <w:tcW w:type="dxa" w:w="4320"/>
          </w:tcPr>
          <w:p>
            <w:r>
              <w:t>Bennett Ashworth</w:t>
            </w:r>
          </w:p>
        </w:tc>
      </w:tr>
      <w:tr>
        <w:tc>
          <w:tcPr>
            <w:tcW w:type="dxa" w:w="4320"/>
          </w:tcPr>
          <w:p>
            <w:r>
              <w:t>Re:</w:t>
            </w:r>
          </w:p>
        </w:tc>
        <w:tc>
          <w:tcPr>
            <w:tcW w:type="dxa" w:w="4320"/>
          </w:tcPr>
          <w:p>
            <w:r>
              <w:t>Trade secret misappropriation claim against Marcus Pryor — status, elements analysis, and litigation posture</w:t>
            </w:r>
          </w:p>
        </w:tc>
      </w:tr>
      <w:tr>
        <w:tc>
          <w:tcPr>
            <w:tcW w:type="dxa" w:w="4320"/>
          </w:tcPr>
          <w:p>
            <w:r>
              <w:t>Date:</w:t>
            </w:r>
          </w:p>
        </w:tc>
        <w:tc>
          <w:tcPr>
            <w:tcW w:type="dxa" w:w="4320"/>
          </w:tcPr>
          <w:p>
            <w:r>
              <w:t>Current</w:t>
            </w:r>
          </w:p>
        </w:tc>
      </w:tr>
    </w:tbl>
    <w:p>
      <w:pPr>
        <w:pStyle w:val="Heading2"/>
      </w:pPr>
      <w:r>
        <w:t>I. Purpose</w:t>
      </w:r>
    </w:p>
    <w:p>
      <w:r>
        <w:t>This memorandum sets out the current posture of Linden Robotics, Inc.'s trade secret misappropriation claim against Marcus Pryor, summarizes the elements Linden must prove under the applicable trade secrets act, identifies the evidentiary record developed to date, and recommends next steps. This document supersedes the outline circulated after the docket call and reflects the associates' research to date. Every factual assertion below is keyed to a specific item in the evidentiary record identified in Section IV; nothing here should be treated as final until the underlying documents are re-checked against the certified record.</w:t>
      </w:r>
    </w:p>
    <w:p>
      <w:pPr>
        <w:pStyle w:val="Heading2"/>
      </w:pPr>
      <w:r>
        <w:t>II. Background</w:t>
      </w:r>
    </w:p>
    <w:p>
      <w:r>
        <w:t>Pryor was employed by Linden Robotics as a senior controls engineer from 2019 until his resignation in the first quarter of this year. He departed to join a competitor and, within weeks, that competitor announced a product line with control architecture bearing substantial similarity to Linden's proprietary motion-control algorithms (see record, competitor product announcement and specification sheet, Section IV). Linden contends Pryor took confidential source code, calibration datasets, and internal design specifications with him, in violation of his employment agreement's confidentiality provisions and the state Uniform Trade Secrets Act (see record, employment agreement, Section IV).</w:t>
      </w:r>
    </w:p>
    <w:p>
      <w:pPr>
        <w:pStyle w:val="Heading2"/>
      </w:pPr>
      <w:r>
        <w:t>III. Elements and Current State of Proof</w:t>
      </w:r>
    </w:p>
    <w:p>
      <w:pPr>
        <w:pStyle w:val="ListNumber"/>
      </w:pPr>
      <w:r>
        <w:t>Existence of a trade secret — Linden must show the algorithms and calibration data derive independent economic value from not being generally known and were subject to reasonable secrecy measures. Status: supported by the confidentiality policy, access logs, and NDA on file (see record, Section IV, items 1 and 3). Adequate for pleading; needs an expert declaration for summary judgment.</w:t>
      </w:r>
    </w:p>
    <w:p>
      <w:pPr>
        <w:pStyle w:val="ListNumber"/>
      </w:pPr>
      <w:r>
        <w:t>Misappropriation — acquisition by improper means, or use/disclosure by one who knew or had reason to know the secret was acquired improperly. Status: forensic imaging of Pryor's company laptop shows bulk file transfers to an external drive four days before resignation (see record, Section IV, item 2). This is our strongest fact and should anchor the opposition to any motion to dismiss.</w:t>
      </w:r>
    </w:p>
    <w:p>
      <w:pPr>
        <w:pStyle w:val="ListNumber"/>
      </w:pPr>
      <w:r>
        <w:t>Damages or unjust enrichment — Linden must quantify harm, whether by lost profits, unjust enrichment, or a reasonable royalty. Status: not yet modeled. This is the principal gap in the current record and should be tasked out this week as a damages workpaper, not narrative (see Section VI, item 1).</w:t>
      </w:r>
    </w:p>
    <w:p>
      <w:pPr>
        <w:pStyle w:val="ListNumber"/>
      </w:pPr>
      <w:r>
        <w:t>Injunctive relief factors — likelihood of success, irreparable harm, balance of hardships, public interest. Status: viable for a preliminary injunction motion once the forensic report is finalized (see record, Section IV, item 2); irreparable harm argument is strong given the competitor's product timeline (see record, Section IV, item 4).</w:t>
      </w:r>
    </w:p>
    <w:p>
      <w:pPr>
        <w:pStyle w:val="Heading2"/>
      </w:pPr>
      <w:r>
        <w:t>IV. Evidentiary Record Developed</w:t>
      </w:r>
    </w:p>
    <w:p>
      <w:pPr>
        <w:pStyle w:val="ListBullet"/>
      </w:pPr>
      <w:r>
        <w:t>1. Executed employment agreement and confidentiality/assignment provisions (2019).</w:t>
      </w:r>
    </w:p>
    <w:p>
      <w:pPr>
        <w:pStyle w:val="ListBullet"/>
      </w:pPr>
      <w:r>
        <w:t>2. Forensic imaging report of Pryor's company-issued laptop, showing external-drive transfer activity four days before resignation.</w:t>
      </w:r>
    </w:p>
    <w:p>
      <w:pPr>
        <w:pStyle w:val="ListBullet"/>
      </w:pPr>
      <w:r>
        <w:t>3. Access logs for the source code repository, showing Pryor's credentials pulled the calibration datasets at issue within the final two weeks of employment.</w:t>
      </w:r>
    </w:p>
    <w:p>
      <w:pPr>
        <w:pStyle w:val="ListBullet"/>
      </w:pPr>
      <w:r>
        <w:t>4. Competitor's public product announcement and specification sheet, for comparison against Linden's internal design documents.</w:t>
      </w:r>
    </w:p>
    <w:p>
      <w:pPr>
        <w:pStyle w:val="ListBullet"/>
      </w:pPr>
      <w:r>
        <w:t>5. Pryor's signed exit certification affirming return/destruction of all confidential materials — directly contradicted by the forensic record at item 2.</w:t>
      </w:r>
    </w:p>
    <w:p>
      <w:pPr>
        <w:pStyle w:val="Heading2"/>
      </w:pPr>
      <w:r>
        <w:t>V. Litigation Posture and Recommendation</w:t>
      </w:r>
    </w:p>
    <w:p>
      <w:r>
        <w:t>The exit certification (Section IV, item 5), directly contradicted by the forensic record (Section IV, item 2), is the strongest single fact in this case and should be featured prominently in any pleading and in deposition preparation for Pryor himself. I recommend we move on three fronts, in this order: (1) task the damages model this week so we are not caught without a quantification if a preliminary injunction motion becomes necessary; (2) finalize the forensic expert declaration, since both the merits and any injunction motion depend on it being record-ready rather than provisional; and (3) prepare the deposition outline for Pryor built strictly around the documentary timeline — laptop access (item 2), source-code pulls (item 3), exit certification (item 5), and resignation date, in that order, so the sequence speaks for itself against the certified record. Before any discovery motion is filed in this matter, confirm with the docket clerk whether a live meet-and-confer has occurred consistent with the court's procedures; do not rely on an email exchange as satisfying that requirement.</w:t>
      </w:r>
    </w:p>
    <w:p>
      <w:pPr>
        <w:pStyle w:val="Heading2"/>
      </w:pPr>
      <w:r>
        <w:t>VI. Next Steps</w:t>
      </w:r>
    </w:p>
    <w:p>
      <w:pPr>
        <w:pStyle w:val="ListNumber"/>
      </w:pPr>
      <w:r>
        <w:t>Damages associate to build a lost-profits/unjust-enrichment workpaper by end of week, keyed to Section IV record items.</w:t>
      </w:r>
    </w:p>
    <w:p>
      <w:pPr>
        <w:pStyle w:val="ListNumber"/>
      </w:pPr>
      <w:r>
        <w:t>Finalize forensic expert declaration for use on both the merits and any injunction motion; cite specifically to Section IV, item 2.</w:t>
      </w:r>
    </w:p>
    <w:p>
      <w:pPr>
        <w:pStyle w:val="ListNumber"/>
      </w:pPr>
      <w:r>
        <w:t>Draft preliminary injunction motion papers on a contingency timeline pending the damages workpaper, with irreparable-harm argument grounded in Section IV, item 4.</w:t>
      </w:r>
    </w:p>
    <w:p>
      <w:pPr>
        <w:pStyle w:val="ListNumber"/>
      </w:pPr>
      <w:r>
        <w:t>Schedule Pryor deposition; outline to be built around the documentary timeline in Section IV, items 2, 3, and 5.</w:t>
      </w:r>
    </w:p>
    <w:p>
      <w:pPr>
        <w:pStyle w:val="ListNumber"/>
      </w:pPr>
      <w:r>
        <w:t>Before filing any discovery motion, confirm a live meet-and-confer has taken place and is documented in the file.</w:t>
      </w:r>
    </w:p>
    <w:p>
      <w:pPr>
        <w:pStyle w:val="ListNumber"/>
      </w:pPr>
      <w:r>
        <w:t>Circulate this memorandum to the team for comment before the next docket call.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