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To</w:t>
            </w:r>
          </w:p>
        </w:tc>
        <w:tc>
          <w:tcPr>
            <w:tcW w:type="dxa" w:w="4320"/>
          </w:tcPr>
          <w:p>
            <w:r>
              <w:t>Marguerite Oyelaran</w:t>
            </w:r>
          </w:p>
        </w:tc>
      </w:tr>
      <w:tr>
        <w:tc>
          <w:tcPr>
            <w:tcW w:type="dxa" w:w="4320"/>
          </w:tcPr>
          <w:p>
            <w:r>
              <w:t>From</w:t>
            </w:r>
          </w:p>
        </w:tc>
        <w:tc>
          <w:tcPr>
            <w:tcW w:type="dxa" w:w="4320"/>
          </w:tcPr>
          <w:p>
            <w:r>
              <w:t>Bennett Ashworth</w:t>
            </w:r>
          </w:p>
        </w:tc>
      </w:tr>
      <w:tr>
        <w:tc>
          <w:tcPr>
            <w:tcW w:type="dxa" w:w="4320"/>
          </w:tcPr>
          <w:p>
            <w:r>
              <w:t>Re</w:t>
            </w:r>
          </w:p>
        </w:tc>
        <w:tc>
          <w:tcPr>
            <w:tcW w:type="dxa" w:w="4320"/>
          </w:tcPr>
          <w:p>
            <w:r>
              <w:t>Covenant Amendment Analysis — Executed Credit Agreement</w:t>
            </w:r>
          </w:p>
        </w:tc>
      </w:tr>
      <w:tr>
        <w:tc>
          <w:tcPr>
            <w:tcW w:type="dxa" w:w="4320"/>
          </w:tcPr>
          <w:p>
            <w:r>
              <w:t>Status</w:t>
            </w:r>
          </w:p>
        </w:tc>
        <w:tc>
          <w:tcPr>
            <w:tcW w:type="dxa" w:w="4320"/>
          </w:tcPr>
          <w:p>
            <w:r>
              <w:t>Draft for review — citation-specific answer committed by EOD tomorrow</w:t>
            </w:r>
          </w:p>
        </w:tc>
      </w:tr>
    </w:tbl>
    <w:p>
      <w:pPr>
        <w:pStyle w:val="Heading2"/>
      </w:pPr>
      <w:r>
        <w:t>I. Purpose and Scope</w:t>
      </w:r>
    </w:p>
    <w:p>
      <w:r>
        <w:t>This memorandum responds to Marguerite Oyelaran's enforcement inquiry regarding whether the covenants at issue have been amended since execution of the credit agreement, and if so, on what dates and in what respects. Per my commitment this afternoon, I have reviewed the executed credit agreement and the covenant sections identified as potentially implicated. This draft sets out the analytical framework and preliminary findings; the final version, to issue by EOD tomorrow, will either (a) identify each amendment by date and section with the amendment and original agreement attached, or (b) state in writing that no amendments exist as to the covenants at issue.</w:t>
      </w:r>
    </w:p>
    <w:p>
      <w:pPr>
        <w:pStyle w:val="Heading2"/>
      </w:pPr>
      <w:r>
        <w:t>II. Documents Reviewed</w:t>
      </w:r>
    </w:p>
    <w:p>
      <w:pPr>
        <w:pStyle w:val="ListNumber"/>
      </w:pPr>
      <w:r>
        <w:t>Executed credit agreement, as originally signed (base document).</w:t>
      </w:r>
    </w:p>
    <w:p>
      <w:pPr>
        <w:pStyle w:val="ListNumber"/>
      </w:pPr>
      <w:r>
        <w:t>Any instrument styled as an amendment, waiver, consent, or omnibus amendment purporting to modify the covenant sections identified below.</w:t>
      </w:r>
    </w:p>
    <w:p>
      <w:pPr>
        <w:pStyle w:val="ListNumber"/>
      </w:pPr>
      <w:r>
        <w:t>Correspondence or side letters referencing modification of financial or negative covenants, to the extent such correspondence purports to have operative effect.</w:t>
      </w:r>
    </w:p>
    <w:p>
      <w:pPr>
        <w:pStyle w:val="Heading2"/>
      </w:pPr>
      <w:r>
        <w:t>III. Covenant Sections Under Review</w:t>
      </w:r>
    </w:p>
    <w:tbl>
      <w:tblPr>
        <w:tblW w:type="auto" w:w="0"/>
        <w:tblLook w:firstColumn="1" w:firstRow="1" w:lastColumn="0" w:lastRow="0" w:noHBand="0" w:noVBand="1" w:val="04A0"/>
      </w:tblPr>
      <w:tblGrid>
        <w:gridCol w:w="2880"/>
        <w:gridCol w:w="2880"/>
        <w:gridCol w:w="2880"/>
      </w:tblGrid>
      <w:tr>
        <w:tc>
          <w:tcPr>
            <w:tcW w:type="dxa" w:w="2880"/>
          </w:tcPr>
          <w:p>
            <w:r>
              <w:t>Covenant Type</w:t>
            </w:r>
          </w:p>
        </w:tc>
        <w:tc>
          <w:tcPr>
            <w:tcW w:type="dxa" w:w="2880"/>
          </w:tcPr>
          <w:p>
            <w:r>
              <w:t>Original Section</w:t>
            </w:r>
          </w:p>
        </w:tc>
        <w:tc>
          <w:tcPr>
            <w:tcW w:type="dxa" w:w="2880"/>
          </w:tcPr>
          <w:p>
            <w:r>
              <w:t>Amendment Status (as of this review)</w:t>
            </w:r>
          </w:p>
        </w:tc>
      </w:tr>
      <w:tr>
        <w:tc>
          <w:tcPr>
            <w:tcW w:type="dxa" w:w="2880"/>
          </w:tcPr>
          <w:p>
            <w:r>
              <w:t>Financial covenant — leverage ratio</w:t>
            </w:r>
          </w:p>
        </w:tc>
        <w:tc>
          <w:tcPr>
            <w:tcW w:type="dxa" w:w="2880"/>
          </w:tcPr>
          <w:p>
            <w:r>
              <w:t>Section 6.1</w:t>
            </w:r>
          </w:p>
        </w:tc>
        <w:tc>
          <w:tcPr>
            <w:tcW w:type="dxa" w:w="2880"/>
          </w:tcPr>
          <w:p>
            <w:r>
              <w:t>No amendment identified to date</w:t>
            </w:r>
          </w:p>
        </w:tc>
      </w:tr>
      <w:tr>
        <w:tc>
          <w:tcPr>
            <w:tcW w:type="dxa" w:w="2880"/>
          </w:tcPr>
          <w:p>
            <w:r>
              <w:t>Financial covenant — fixed charge coverage</w:t>
            </w:r>
          </w:p>
        </w:tc>
        <w:tc>
          <w:tcPr>
            <w:tcW w:type="dxa" w:w="2880"/>
          </w:tcPr>
          <w:p>
            <w:r>
              <w:t>Section 6.2</w:t>
            </w:r>
          </w:p>
        </w:tc>
        <w:tc>
          <w:tcPr>
            <w:tcW w:type="dxa" w:w="2880"/>
          </w:tcPr>
          <w:p>
            <w:r>
              <w:t>No amendment identified to date</w:t>
            </w:r>
          </w:p>
        </w:tc>
      </w:tr>
      <w:tr>
        <w:tc>
          <w:tcPr>
            <w:tcW w:type="dxa" w:w="2880"/>
          </w:tcPr>
          <w:p>
            <w:r>
              <w:t>Negative covenant — indebtedness</w:t>
            </w:r>
          </w:p>
        </w:tc>
        <w:tc>
          <w:tcPr>
            <w:tcW w:type="dxa" w:w="2880"/>
          </w:tcPr>
          <w:p>
            <w:r>
              <w:t>Section 7.1</w:t>
            </w:r>
          </w:p>
        </w:tc>
        <w:tc>
          <w:tcPr>
            <w:tcW w:type="dxa" w:w="2880"/>
          </w:tcPr>
          <w:p>
            <w:r>
              <w:t>No amendment identified to date</w:t>
            </w:r>
          </w:p>
        </w:tc>
      </w:tr>
      <w:tr>
        <w:tc>
          <w:tcPr>
            <w:tcW w:type="dxa" w:w="2880"/>
          </w:tcPr>
          <w:p>
            <w:r>
              <w:t>Negative covenant — liens</w:t>
            </w:r>
          </w:p>
        </w:tc>
        <w:tc>
          <w:tcPr>
            <w:tcW w:type="dxa" w:w="2880"/>
          </w:tcPr>
          <w:p>
            <w:r>
              <w:t>Section 7.2</w:t>
            </w:r>
          </w:p>
        </w:tc>
        <w:tc>
          <w:tcPr>
            <w:tcW w:type="dxa" w:w="2880"/>
          </w:tcPr>
          <w:p>
            <w:r>
              <w:t>No amendment identified to date</w:t>
            </w:r>
          </w:p>
        </w:tc>
      </w:tr>
      <w:tr>
        <w:tc>
          <w:tcPr>
            <w:tcW w:type="dxa" w:w="2880"/>
          </w:tcPr>
          <w:p>
            <w:r>
              <w:t>Reporting covenant</w:t>
            </w:r>
          </w:p>
        </w:tc>
        <w:tc>
          <w:tcPr>
            <w:tcW w:type="dxa" w:w="2880"/>
          </w:tcPr>
          <w:p>
            <w:r>
              <w:t>Section 8.1</w:t>
            </w:r>
          </w:p>
        </w:tc>
        <w:tc>
          <w:tcPr>
            <w:tcW w:type="dxa" w:w="2880"/>
          </w:tcPr>
          <w:p>
            <w:r>
              <w:t>No amendment identified to date</w:t>
            </w:r>
          </w:p>
        </w:tc>
      </w:tr>
    </w:tbl>
    <w:p>
      <w:r>
        <w:t>The status column reflects the state of review as of this afternoon's pass. It is not final. Any amendment instrument located between now and EOD tomorrow will be cited to the specific section and date it modifies, with the amendment and the original agreement provided as source documents. If no amendment is located, the final memorandum will say so in those terms — not by omission.</w:t>
      </w:r>
    </w:p>
    <w:p>
      <w:pPr>
        <w:pStyle w:val="Heading2"/>
      </w:pPr>
      <w:r>
        <w:t>IV. Method</w:t>
      </w:r>
    </w:p>
    <w:p>
      <w:r>
        <w:t>The review proceeds section by section against the covenant list in Part III, cross-checked against the amendment/consent index maintained for this credit facility. Each covenant section is checked against (i) any amendment expressly amending that section by number, (ii) any omnibus amendment restating covenants generally, and (iii) any waiver that, by its terms, operates prospectively rather than as a one-time waiver — since a waiver is not an amendment and will not be characterized as one in the final answer.</w:t>
      </w:r>
    </w:p>
    <w:p>
      <w:pPr>
        <w:pStyle w:val="Heading2"/>
      </w:pPr>
      <w:r>
        <w:t>V. Open Items Before Final Answer</w:t>
      </w:r>
    </w:p>
    <w:p>
      <w:pPr>
        <w:pStyle w:val="ListNumber"/>
      </w:pPr>
      <w:r>
        <w:t>Confirm completeness of the amendment/consent index against the credit agreement's own defined-terms schedule for amendments, to rule out an unindexed instrument.</w:t>
      </w:r>
    </w:p>
    <w:p>
      <w:pPr>
        <w:pStyle w:val="ListNumber"/>
      </w:pPr>
      <w:r>
        <w:t>Verify execution status (signature pages, effective dates) of any instrument located, since an unsigned or undated draft amendment has no operative effect and will be excluded from the citation.</w:t>
      </w:r>
    </w:p>
    <w:p>
      <w:pPr>
        <w:pStyle w:val="ListNumber"/>
      </w:pPr>
      <w:r>
        <w:t>Confirm no side letter or consent modifies a covenant section without formally amending the agreement — if one exists, the final memorandum will flag it separately from formal amendments.</w:t>
      </w:r>
    </w:p>
    <w:p>
      <w:pPr>
        <w:pStyle w:val="Heading2"/>
      </w:pPr>
      <w:r>
        <w:t>VI. Commitment</w:t>
      </w:r>
    </w:p>
    <w:p>
      <w:r>
        <w:t>The final, citation-specific answer will issue by EOD tomorrow per the commitment made to Marguerite today. It will state, section by section, either the amendment date and section reference with supporting documents attached, or written confirmation that no amendment exists as to that section. No hedged or partial answer will substitute for that commitment.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