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Marguerite</w:t>
      </w:r>
    </w:p>
    <w:p>
      <w:r>
        <w:t>From: Bennett Ashworth</w:t>
      </w:r>
    </w:p>
    <w:p>
      <w:r>
        <w:t>Re: Second Discovery Request — Confirmed Deadline, Scope Narrowed to Estoppel and Jurisdiction/Good-Standing Issues, Category-by-Category Overlap Against the First Request, and Timeline Feasibility Assessment</w:t>
      </w:r>
    </w:p>
    <w:p>
      <w:r>
        <w:t>Status: DRAFT — in progress. This memorandum addresses three of the four items committed for delivery to Marguerite: (1) the confirmed clock start and due date, per Adaora's calculation with Thandiwe, (2) the category-by-category overlap analysis against the first request, now scoped to the two categories Adaora has confirmed remain in play — estoppel and jurisdiction/good-standing — and (3) a reasoned feasibility assessment of the response timeline against a request for extension. The fee-to-budget tally with projection is being prepared separately and will be delivered together with this memorandum, consistent with the single-email commitment already made to Marguerite.</w:t>
      </w:r>
    </w:p>
    <w:p>
      <w:pPr>
        <w:pStyle w:val="Heading2"/>
      </w:pPr>
      <w:r>
        <w:t>1. Clock Start and Due Date</w:t>
      </w:r>
    </w:p>
    <w:p>
      <w:r>
        <w:t>The deadline is now confirmed. Per Adaora's calculation with Thandiwe, the response is due 14 days from Thursday's filing, which places the due date a week from Monday. This supersedes the prior 'three weeks out, subject to confirmation' framing. See record.</w:t>
      </w:r>
    </w:p>
    <w:p>
      <w:pPr>
        <w:pStyle w:val="ListNumber"/>
      </w:pPr>
      <w:r>
        <w:t>Date of service on counsel of record: Thursday's filing.</w:t>
      </w:r>
    </w:p>
    <w:p>
      <w:pPr>
        <w:pStyle w:val="ListNumber"/>
      </w:pPr>
      <w:r>
        <w:t>Clock start: date of service (no tolling agreement on file).</w:t>
      </w:r>
    </w:p>
    <w:p>
      <w:pPr>
        <w:pStyle w:val="ListNumber"/>
      </w:pPr>
      <w:r>
        <w:t>Computed due date: 14 days from clock start — a week from Monday, as calculated with Thandiwe.</w:t>
      </w:r>
    </w:p>
    <w:p>
      <w:pPr>
        <w:pStyle w:val="ListNumber"/>
      </w:pPr>
      <w:r>
        <w:t>Any applicable local rule or standing order provisions affecting computation: none identified beyond the meet-and-confer requirement addressed in Section 3.</w:t>
      </w:r>
    </w:p>
    <w:p>
      <w:pPr>
        <w:pStyle w:val="Heading2"/>
      </w:pPr>
      <w:r>
        <w:t>2. Category-by-Category Overlap Analysis Against the First Request</w:t>
      </w:r>
    </w:p>
    <w:p>
      <w:r>
        <w:t>Per Adaora's confirmation, the scope of the second request that remains at issue is narrowed to two categories: estoppel and jurisdiction/good-standing. The comparison below is limited to those two categories against the corresponding categories in the first request. This narrowing materially reduces the incremental burden analysis in Section 3 relative to the prior draft's broader placeholder scope.</w:t>
      </w:r>
    </w:p>
    <w:tbl>
      <w:tblPr>
        <w:tblW w:type="auto" w:w="0"/>
        <w:tblLook w:firstColumn="1" w:firstRow="1" w:lastColumn="0" w:lastRow="0" w:noHBand="0" w:noVBand="1" w:val="04A0"/>
      </w:tblPr>
      <w:tblGrid>
        <w:gridCol w:w="2160"/>
        <w:gridCol w:w="2160"/>
        <w:gridCol w:w="2160"/>
        <w:gridCol w:w="2160"/>
      </w:tblGrid>
      <w:tr>
        <w:tc>
          <w:tcPr>
            <w:tcW w:type="dxa" w:w="2160"/>
          </w:tcPr>
          <w:p>
            <w:r>
              <w:t>Category (Second Request)</w:t>
            </w:r>
          </w:p>
        </w:tc>
        <w:tc>
          <w:tcPr>
            <w:tcW w:type="dxa" w:w="2160"/>
          </w:tcPr>
          <w:p>
            <w:r>
              <w:t>Corresponds to First Request Category</w:t>
            </w:r>
          </w:p>
        </w:tc>
        <w:tc>
          <w:tcPr>
            <w:tcW w:type="dxa" w:w="2160"/>
          </w:tcPr>
          <w:p>
            <w:r>
              <w:t>Overlap Assessment</w:t>
            </w:r>
          </w:p>
        </w:tc>
        <w:tc>
          <w:tcPr>
            <w:tcW w:type="dxa" w:w="2160"/>
          </w:tcPr>
          <w:p>
            <w:r>
              <w:t>Incremental Burden</w:t>
            </w:r>
          </w:p>
        </w:tc>
      </w:tr>
      <w:tr>
        <w:tc>
          <w:tcPr>
            <w:tcW w:type="dxa" w:w="2160"/>
          </w:tcPr>
          <w:p>
            <w:r>
              <w:t>Estoppel</w:t>
            </w:r>
          </w:p>
        </w:tc>
        <w:tc>
          <w:tcPr>
            <w:tcW w:type="dxa" w:w="2160"/>
          </w:tcPr>
          <w:p>
            <w:r>
              <w:t>First Request Cat. [TBD — verbatim cross-reference pending]</w:t>
            </w:r>
          </w:p>
        </w:tc>
        <w:tc>
          <w:tcPr>
            <w:tcW w:type="dxa" w:w="2160"/>
          </w:tcPr>
          <w:p>
            <w:r>
              <w:t>Partial overlap — narrower framing in first request</w:t>
            </w:r>
          </w:p>
        </w:tc>
        <w:tc>
          <w:tcPr>
            <w:tcW w:type="dxa" w:w="2160"/>
          </w:tcPr>
          <w:p>
            <w:r>
              <w:t>Moderate</w:t>
            </w:r>
          </w:p>
        </w:tc>
      </w:tr>
      <w:tr>
        <w:tc>
          <w:tcPr>
            <w:tcW w:type="dxa" w:w="2160"/>
          </w:tcPr>
          <w:p>
            <w:r>
              <w:t>Jurisdiction / Good-Standing</w:t>
            </w:r>
          </w:p>
        </w:tc>
        <w:tc>
          <w:tcPr>
            <w:tcW w:type="dxa" w:w="2160"/>
          </w:tcPr>
          <w:p>
            <w:r>
              <w:t>No corresponding category</w:t>
            </w:r>
          </w:p>
        </w:tc>
        <w:tc>
          <w:tcPr>
            <w:tcW w:type="dxa" w:w="2160"/>
          </w:tcPr>
          <w:p>
            <w:r>
              <w:t>New scope</w:t>
            </w:r>
          </w:p>
        </w:tc>
        <w:tc>
          <w:tcPr>
            <w:tcW w:type="dxa" w:w="2160"/>
          </w:tcPr>
          <w:p>
            <w:r>
              <w:t>Moderate to High</w:t>
            </w:r>
          </w:p>
        </w:tc>
      </w:tr>
    </w:tbl>
    <w:p>
      <w:r>
        <w:t>The category labels and cross-references above reflect Adaora's confirmed scope narrowing; the verbatim quotation of request text for the estoppel cross-reference is still being finalized by the associates and will be substituted before delivery to Marguerite. The overlap/burden conclusions are not expected to change materially once that substitution is made.</w:t>
      </w:r>
    </w:p>
    <w:p>
      <w:pPr>
        <w:pStyle w:val="Heading2"/>
      </w:pPr>
      <w:r>
        <w:t>3. Timeline Feasibility Assessment</w:t>
      </w:r>
    </w:p>
    <w:p>
      <w:r>
        <w:t>The confirmed period — 14 days from Thursday's filing, due a week from Monday — is assessed against the now-narrowed scope (estoppel and jurisdiction/good-standing only). This is a reasoned assessment, not a reflexive request for more time — see record for the category-level burden analysis supporting it.</w:t>
      </w:r>
    </w:p>
    <w:p>
      <w:pPr>
        <w:pStyle w:val="ListBullet"/>
      </w:pPr>
      <w:r>
        <w:t>The estoppel category, assessed as partially overlapping with the first request, can likely be responded to within the confirmed window using materials already collected and reviewed for the first request, subject to a supplemental privilege review.</w:t>
      </w:r>
    </w:p>
    <w:p>
      <w:pPr>
        <w:pStyle w:val="ListBullet"/>
      </w:pPr>
      <w:r>
        <w:t>The jurisdiction/good-standing category presents new scope and, on current volume estimates, may consume a disproportionate share of the confirmed window if run sequentially with the estoppel response.</w:t>
      </w:r>
    </w:p>
    <w:p>
      <w:pPr>
        <w:pStyle w:val="ListBullet"/>
      </w:pPr>
      <w:r>
        <w:t>Running jurisdiction/good-standing collection in parallel with the estoppel response is feasible only if additional review resources are allocated now; that is a resourcing decision, not a legal one, and is noted here rather than decided.</w:t>
      </w:r>
    </w:p>
    <w:p>
      <w:pPr>
        <w:pStyle w:val="ListBullet"/>
      </w:pPr>
      <w:r>
        <w:t>No tolling agreement or extension has been requested of opposing counsel to date.</w:t>
      </w:r>
    </w:p>
    <w:p>
      <w:r>
        <w:t>Recommendation: given the scope narrowing to these two categories, the confirmed deadline is workable without a general extension request. If volume on the jurisdiction/good-standing category proves heavier than currently estimated, a limited, targeted extension as to that category only should be sought promptly rather than at the deadline.</w:t>
      </w:r>
    </w:p>
    <w:p>
      <w:r>
        <w:t>Any request for an extension, and any motion practice arising from a disputed timeline, must be preceded by a live meet-and-confer conference. Judge Aldrete's standing order requires a live conference and treats an email exchange as no conference at all; two firms have been sanctioned for proceeding on an email exchange alone. This point is firm, not a negotiating preference, and should be confirmed internally before docket call. This sanctions-risk framing is noted here for internal purposes only and should not be raised in writing to opposing counsel.</w:t>
      </w:r>
    </w:p>
    <w:p>
      <w:pPr>
        <w:pStyle w:val="Heading2"/>
      </w:pPr>
      <w:r>
        <w:t>4. Outstanding Before Delivery to Marguerite</w:t>
      </w:r>
    </w:p>
    <w:p>
      <w:pPr>
        <w:pStyle w:val="ListNumber"/>
      </w:pPr>
      <w:r>
        <w:t>Complete verbatim cross-reference for the estoppel category in the Section 2 table using request text from both the first and second requests.</w:t>
      </w:r>
    </w:p>
    <w:p>
      <w:pPr>
        <w:pStyle w:val="ListNumber"/>
      </w:pPr>
      <w:r>
        <w:t>Finalize the fee-to-budget tally and projection (prepared separately) for inclusion in the same delivery email.</w:t>
      </w:r>
    </w:p>
    <w:p>
      <w:pPr>
        <w:pStyle w:val="ListNumber"/>
      </w:pPr>
      <w:r>
        <w:t>Confirm resourcing availability for parallel handling of the jurisdiction/good-standing category before finalizing the Section 3 recommendation.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