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Whitfield Estoppel Certificate - Status and Follow-Up</w:t>
      </w:r>
    </w:p>
    <w:p>
      <w:r>
        <w:t>Re: Northmoor / Sandhurst Add-On Acquisition - Estoppel Certificate from Whitfield</w:t>
      </w:r>
    </w:p>
    <w:p>
      <w:r>
        <w:t>Prepared by: Quentin Sarr, Associate</w:t>
      </w:r>
    </w:p>
    <w:p>
      <w:pPr>
        <w:pStyle w:val="Heading2"/>
      </w:pPr>
      <w:r>
        <w:t>Background</w:t>
      </w:r>
    </w:p>
    <w:p>
      <w:r>
        <w:t>As part of closing diligence for the Sandhurst add-on acquisition, the deal team requested an executed estoppel certificate from Whitfield (the counterparty/landlord under the relevant lease or agreement subject to closing conditions). The estoppel certificate is required to confirm the current status of the underlying agreement - including confirmation of no defaults, current rent or payment terms, and absence of any outstanding claims - and is a customary closing deliverable for this transaction.</w:t>
      </w:r>
    </w:p>
    <w:p>
      <w:r>
        <w:t>This item is tracked separately from the general closing checklist (Northmoor / Sandhurst Add-On Diligence - Closing Checklist) and from the signature pages reconciliation tracker (Sandhurst Add-On Diligence - Whitfield Estoppel Certificate Tracking and Signature Pages Reconciliation), given its status as the sole open item currently subject to escalation. All other checklist items, including good standing certificates and MIP mechanics (Item #10, now tagged under Sandhurst Platform Acquisition), have been closed out.</w:t>
      </w:r>
    </w:p>
    <w:p>
      <w:r>
        <w:t>Update: At the Corporate deal status meeting, the Sandhurst closing checklist was reconfirmed at 12 of 12 good standing certificates closed, with no open items other than the Whitfield estoppel certificate discussed below. Separately, per internal deal-team correspondence, the names of team members available to support escalation on this item (including Quentin and Ingrid) have been circulated, in anticipation of an escalation call or letter as discussed at the meeting.</w:t>
      </w:r>
    </w:p>
    <w:p>
      <w:pPr>
        <w:pStyle w:val="Heading2"/>
      </w:pPr>
      <w:r>
        <w:t>Outreach Log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Method</w:t>
            </w:r>
          </w:p>
        </w:tc>
        <w:tc>
          <w:tcPr>
            <w:tcW w:type="dxa" w:w="1728"/>
          </w:tcPr>
          <w:p>
            <w:r>
              <w:t>Contact</w:t>
            </w:r>
          </w:p>
        </w:tc>
        <w:tc>
          <w:tcPr>
            <w:tcW w:type="dxa" w:w="1728"/>
          </w:tcPr>
          <w:p>
            <w:r>
              <w:t>Description</w:t>
            </w:r>
          </w:p>
        </w:tc>
        <w:tc>
          <w:tcPr>
            <w:tcW w:type="dxa" w:w="1728"/>
          </w:tcPr>
          <w:p>
            <w:r>
              <w:t>Response</w:t>
            </w:r>
          </w:p>
        </w:tc>
      </w:tr>
      <w:tr>
        <w:tc>
          <w:tcPr>
            <w:tcW w:type="dxa" w:w="1728"/>
          </w:tcPr>
          <w:p>
            <w:r>
              <w:t>Week 1 (initial request)</w:t>
            </w:r>
          </w:p>
        </w:tc>
        <w:tc>
          <w:tcPr>
            <w:tcW w:type="dxa" w:w="1728"/>
          </w:tcPr>
          <w:p>
            <w:r>
              <w:t>Email</w:t>
            </w:r>
          </w:p>
        </w:tc>
        <w:tc>
          <w:tcPr>
            <w:tcW w:type="dxa" w:w="1728"/>
          </w:tcPr>
          <w:p>
            <w:r>
              <w:t>Whitfield (counterparty contact on file)</w:t>
            </w:r>
          </w:p>
        </w:tc>
        <w:tc>
          <w:tcPr>
            <w:tcW w:type="dxa" w:w="1728"/>
          </w:tcPr>
          <w:p>
            <w:r>
              <w:t>Initial request sent for executed estoppel certificate, with form attached and deadline noted ahead of anticipated closing</w:t>
            </w:r>
          </w:p>
        </w:tc>
        <w:tc>
          <w:tcPr>
            <w:tcW w:type="dxa" w:w="1728"/>
          </w:tcPr>
          <w:p>
            <w:r>
              <w:t>No response</w:t>
            </w:r>
          </w:p>
        </w:tc>
      </w:tr>
      <w:tr>
        <w:tc>
          <w:tcPr>
            <w:tcW w:type="dxa" w:w="1728"/>
          </w:tcPr>
          <w:p>
            <w:r>
              <w:t>Week 1 (follow-up)</w:t>
            </w:r>
          </w:p>
        </w:tc>
        <w:tc>
          <w:tcPr>
            <w:tcW w:type="dxa" w:w="1728"/>
          </w:tcPr>
          <w:p>
            <w:r>
              <w:t>Email</w:t>
            </w:r>
          </w:p>
        </w:tc>
        <w:tc>
          <w:tcPr>
            <w:tcW w:type="dxa" w:w="1728"/>
          </w:tcPr>
          <w:p>
            <w:r>
              <w:t>Whitfield (counterparty contact on file)</w:t>
            </w:r>
          </w:p>
        </w:tc>
        <w:tc>
          <w:tcPr>
            <w:tcW w:type="dxa" w:w="1728"/>
          </w:tcPr>
          <w:p>
            <w:r>
              <w:t>Follow-up email reiterating request and flagging closing timeline sensitivity</w:t>
            </w:r>
          </w:p>
        </w:tc>
        <w:tc>
          <w:tcPr>
            <w:tcW w:type="dxa" w:w="1728"/>
          </w:tcPr>
          <w:p>
            <w:r>
              <w:t>No response</w:t>
            </w:r>
          </w:p>
        </w:tc>
      </w:tr>
      <w:tr>
        <w:tc>
          <w:tcPr>
            <w:tcW w:type="dxa" w:w="1728"/>
          </w:tcPr>
          <w:p>
            <w:r>
              <w:t>Week 2</w:t>
            </w:r>
          </w:p>
        </w:tc>
        <w:tc>
          <w:tcPr>
            <w:tcW w:type="dxa" w:w="1728"/>
          </w:tcPr>
          <w:p>
            <w:r>
              <w:t>Phone</w:t>
            </w:r>
          </w:p>
        </w:tc>
        <w:tc>
          <w:tcPr>
            <w:tcW w:type="dxa" w:w="1728"/>
          </w:tcPr>
          <w:p>
            <w:r>
              <w:t>Whitfield (counterparty contact on file)</w:t>
            </w:r>
          </w:p>
        </w:tc>
        <w:tc>
          <w:tcPr>
            <w:tcW w:type="dxa" w:w="1728"/>
          </w:tcPr>
          <w:p>
            <w:r>
              <w:t>Attempted call to counterparty's listed contact number; left voicemail requesting call-back</w:t>
            </w:r>
          </w:p>
        </w:tc>
        <w:tc>
          <w:tcPr>
            <w:tcW w:type="dxa" w:w="1728"/>
          </w:tcPr>
          <w:p>
            <w:r>
              <w:t>No response</w:t>
            </w:r>
          </w:p>
        </w:tc>
      </w:tr>
      <w:tr>
        <w:tc>
          <w:tcPr>
            <w:tcW w:type="dxa" w:w="1728"/>
          </w:tcPr>
          <w:p>
            <w:r>
              <w:t>Week 2 (follow-up)</w:t>
            </w:r>
          </w:p>
        </w:tc>
        <w:tc>
          <w:tcPr>
            <w:tcW w:type="dxa" w:w="1728"/>
          </w:tcPr>
          <w:p>
            <w:r>
              <w:t>Email</w:t>
            </w:r>
          </w:p>
        </w:tc>
        <w:tc>
          <w:tcPr>
            <w:tcW w:type="dxa" w:w="1728"/>
          </w:tcPr>
          <w:p>
            <w:r>
              <w:t>Whitfield (counterparty contact on file)</w:t>
            </w:r>
          </w:p>
        </w:tc>
        <w:tc>
          <w:tcPr>
            <w:tcW w:type="dxa" w:w="1728"/>
          </w:tcPr>
          <w:p>
            <w:r>
              <w:t>Second follow-up email referencing voicemail and re-attaching certificate form</w:t>
            </w:r>
          </w:p>
        </w:tc>
        <w:tc>
          <w:tcPr>
            <w:tcW w:type="dxa" w:w="1728"/>
          </w:tcPr>
          <w:p>
            <w:r>
              <w:t>No response</w:t>
            </w:r>
          </w:p>
        </w:tc>
      </w:tr>
      <w:tr>
        <w:tc>
          <w:tcPr>
            <w:tcW w:type="dxa" w:w="1728"/>
          </w:tcPr>
          <w:p>
            <w:r>
              <w:t>Week 3</w:t>
            </w:r>
          </w:p>
        </w:tc>
        <w:tc>
          <w:tcPr>
            <w:tcW w:type="dxa" w:w="1728"/>
          </w:tcPr>
          <w:p>
            <w:r>
              <w:t>Email</w:t>
            </w:r>
          </w:p>
        </w:tc>
        <w:tc>
          <w:tcPr>
            <w:tcW w:type="dxa" w:w="1728"/>
          </w:tcPr>
          <w:p>
            <w:r>
              <w:t>Whitfield - alternate contact (if identified)</w:t>
            </w:r>
          </w:p>
        </w:tc>
        <w:tc>
          <w:tcPr>
            <w:tcW w:type="dxa" w:w="1728"/>
          </w:tcPr>
          <w:p>
            <w:r>
              <w:t>Outreach attempted through alternate contact at Whitfield, where available, to route around non-responsive primary contact</w:t>
            </w:r>
          </w:p>
        </w:tc>
        <w:tc>
          <w:tcPr>
            <w:tcW w:type="dxa" w:w="1728"/>
          </w:tcPr>
          <w:p>
            <w:r>
              <w:t>No response</w:t>
            </w:r>
          </w:p>
        </w:tc>
      </w:tr>
      <w:tr>
        <w:tc>
          <w:tcPr>
            <w:tcW w:type="dxa" w:w="1728"/>
          </w:tcPr>
          <w:p>
            <w:r>
              <w:t>Ongoing</w:t>
            </w:r>
          </w:p>
        </w:tc>
        <w:tc>
          <w:tcPr>
            <w:tcW w:type="dxa" w:w="1728"/>
          </w:tcPr>
          <w:p>
            <w:r>
              <w:t>Internal</w:t>
            </w:r>
          </w:p>
        </w:tc>
        <w:tc>
          <w:tcPr>
            <w:tcW w:type="dxa" w:w="1728"/>
          </w:tcPr>
          <w:p>
            <w:r>
              <w:t>Ingrid / Samir (deal team)</w:t>
            </w:r>
          </w:p>
        </w:tc>
        <w:tc>
          <w:tcPr>
            <w:tcW w:type="dxa" w:w="1728"/>
          </w:tcPr>
          <w:p>
            <w:r>
              <w:t>Status confirmed internally as the sole remaining open item; escalation path discussed</w:t>
            </w:r>
          </w:p>
        </w:tc>
        <w:tc>
          <w:tcPr>
            <w:tcW w:type="dxa" w:w="1728"/>
          </w:tcPr>
          <w:p>
            <w:r>
              <w:t>N/A - internal</w:t>
            </w:r>
          </w:p>
        </w:tc>
      </w:tr>
      <w:tr>
        <w:tc>
          <w:tcPr>
            <w:tcW w:type="dxa" w:w="1728"/>
          </w:tcPr>
          <w:p>
            <w:r>
              <w:t>Current</w:t>
            </w:r>
          </w:p>
        </w:tc>
        <w:tc>
          <w:tcPr>
            <w:tcW w:type="dxa" w:w="1728"/>
          </w:tcPr>
          <w:p>
            <w:r>
              <w:t>Internal</w:t>
            </w:r>
          </w:p>
        </w:tc>
        <w:tc>
          <w:tcPr>
            <w:tcW w:type="dxa" w:w="1728"/>
          </w:tcPr>
          <w:p>
            <w:r>
              <w:t>Deal team (Corporate status meeting)</w:t>
            </w:r>
          </w:p>
        </w:tc>
        <w:tc>
          <w:tcPr>
            <w:tcW w:type="dxa" w:w="1728"/>
          </w:tcPr>
          <w:p>
            <w:r>
              <w:t>Sandhurst checklist reconfirmed 12/12 closed aside from this item; escalation names (Quentin, Ingrid, and others) circulated for next steps</w:t>
            </w:r>
          </w:p>
        </w:tc>
        <w:tc>
          <w:tcPr>
            <w:tcW w:type="dxa" w:w="1728"/>
          </w:tcPr>
          <w:p>
            <w:r>
              <w:t>N/A - internal</w:t>
            </w:r>
          </w:p>
        </w:tc>
      </w:tr>
    </w:tbl>
    <w:p>
      <w:r>
        <w:t>As of the date of this memo, Whitfield has not responded to any outreach attempt across email and phone channels over the outreach period reflected above. No executed certificate, partial response, or indication of anticipated timing has been received.</w:t>
      </w:r>
    </w:p>
    <w:p>
      <w:pPr>
        <w:pStyle w:val="Heading2"/>
      </w:pPr>
      <w:r>
        <w:t>Current Status</w:t>
      </w:r>
    </w:p>
    <w:p>
      <w:pPr>
        <w:pStyle w:val="ListBullet"/>
      </w:pPr>
      <w:r>
        <w:t>Good standing certificates: closed, 12 of 12 confirmed, reconfirmed at the Corporate deal status meeting.</w:t>
      </w:r>
    </w:p>
    <w:p>
      <w:pPr>
        <w:pStyle w:val="ListBullet"/>
      </w:pPr>
      <w:r>
        <w:t>MIP mechanics (Item #10): closed, tagged under Sandhurst Platform Acquisition.</w:t>
      </w:r>
    </w:p>
    <w:p>
      <w:pPr>
        <w:pStyle w:val="ListBullet"/>
      </w:pPr>
      <w:r>
        <w:t>Insurance policy assignment / tail coverage arrangements: closed per confirmed resolution.</w:t>
      </w:r>
    </w:p>
    <w:p>
      <w:pPr>
        <w:pStyle w:val="ListBullet"/>
      </w:pPr>
      <w:r>
        <w:t>Whitfield estoppel certificate: open - no response to date despite multiple outreach attempts; this is the sole remaining open item ahead of closing. Escalation contacts on the deal team have now been identified and circulated in anticipation of next steps.</w:t>
      </w:r>
    </w:p>
    <w:p>
      <w:pPr>
        <w:pStyle w:val="Heading2"/>
      </w:pPr>
      <w:r>
        <w:t>Recommendation</w:t>
      </w:r>
    </w:p>
    <w:p>
      <w:r>
        <w:t>Given the continued and complete silence from Whitfield across all outreach channels attempted to date, we recommend escalation beyond routine associate-level follow-up. Specifically:</w:t>
      </w:r>
    </w:p>
    <w:p>
      <w:pPr>
        <w:pStyle w:val="ListNumber"/>
      </w:pPr>
      <w:r>
        <w:t>Escalate to deal counsel/partner level for a direct call or letter from a more senior firm contact, which may carry greater weight than continued associate-level outreach. Per the recent deal status meeting and follow-up internal correspondence, team members are being confirmed to support this escalation.</w:t>
      </w:r>
    </w:p>
    <w:p>
      <w:pPr>
        <w:pStyle w:val="ListNumber"/>
      </w:pPr>
      <w:r>
        <w:t>Consider looping in the client relationship contact at Sandhurst/Northmoor who may have an existing business relationship with Whitfield and could apply informal pressure to respond.</w:t>
      </w:r>
    </w:p>
    <w:p>
      <w:pPr>
        <w:pStyle w:val="ListNumber"/>
      </w:pPr>
      <w:r>
        <w:t>If no response is received within a defined short window (recommend 3-5 business days from escalation), evaluate contingency options with the deal team, including: (a) proceeding to closing with an indemnity or holdback tied to later delivery of the certificate, (b) a closing condition waiver specific to this item, or (c) alternative evidentiary support (e.g., a certification from the client regarding the status of the underlying agreement in lieu of a third-party estoppel).</w:t>
      </w:r>
    </w:p>
    <w:p>
      <w:pPr>
        <w:pStyle w:val="ListNumber"/>
      </w:pPr>
      <w:r>
        <w:t>Document all further outreach attempts and responses (or continued non-response) in this log to preserve a clear record supporting whatever closing mechanism is ultimately used.</w:t>
      </w:r>
    </w:p>
    <w:p>
      <w:r>
        <w:t>We flag that, given closing timing sensitivity, this decision point should be raised with the broader deal team promptly rather than left to continued informal follow-up. With the Sandhurst checklist otherwise fully closed (12/12) and escalation contacts now identified internally, we recommend finalizing the escalation approach and timeline without further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