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Step-Back Review: Closing Checklist Reconciliation Process</w:t>
      </w:r>
    </w:p>
    <w:p>
      <w:r>
        <w:t>Matter: Northmoor / Sandhurst Platform Acquisition. Purpose: to review why checklist counts (good standing certificates, landlord estoppels) diverged across trackers this week, and to fix the process so it does not recur before closing.</w:t>
      </w:r>
    </w:p>
    <w:p>
      <w:pPr>
        <w:pStyle w:val="Heading2"/>
      </w:pPr>
      <w:r>
        <w:t>What Happened</w:t>
      </w:r>
    </w:p>
    <w:p>
      <w:r>
        <w:t>Three separate people — Samir, Dov, and Ingrid — maintained independent counts of outstanding good standing certificates and landlord estoppels for several days. The counts disagreed: Samir's tracker showed 11 of 12 good standing certificates back and 1 of 3 landlord estoppels back, while Dov and Ingrid's figures differed until reconciled. Separately, the Odell/Whitfield ancillary documents versus checklist item split was raised by multiple people (Samir, then followed up by Quentin, Dov, Elena, and Mira) without a single owner driving it to resolution. Status was repeated across email and chat threads rather than settled once in the checklist of record.</w:t>
      </w:r>
    </w:p>
    <w:p>
      <w:r>
        <w:t>The reconciliation that did happen — confirming 1 good standing cert and 2 landlord estoppels outstanding, aligning Dov/Ingrid's numbers with Samir's — took a dedicated back-and-forth to complete. That is process cost the deal team paid twice: once to generate the discrepancy, once to close it.</w:t>
      </w:r>
    </w:p>
    <w:p>
      <w:pPr>
        <w:pStyle w:val="Heading2"/>
      </w:pPr>
      <w:r>
        <w:t>Root Cause</w:t>
      </w:r>
    </w:p>
    <w:p>
      <w:pPr>
        <w:pStyle w:val="ListNumber"/>
      </w:pPr>
      <w:r>
        <w:t>No single owner of record for the closing checklist during the period in question — multiple people kept parallel counts.</w:t>
      </w:r>
    </w:p>
    <w:p>
      <w:pPr>
        <w:pStyle w:val="ListNumber"/>
      </w:pPr>
      <w:r>
        <w:t>The Odell/Whitfield estoppel escalation (Quentin's landlord outreach) was tracked separately from the main checklist, so the checklist and the escalation thread could show different pictures at the same time.</w:t>
      </w:r>
    </w:p>
    <w:p>
      <w:pPr>
        <w:pStyle w:val="ListNumber"/>
      </w:pPr>
      <w:r>
        <w:t>Status was pushed out repeatedly (individual replies to Mira, Dov, and a group thread) instead of one update to a single controlled document, multiplying the chances for drift.</w:t>
      </w:r>
    </w:p>
    <w:p>
      <w:pPr>
        <w:pStyle w:val="Heading2"/>
      </w:pPr>
      <w:r>
        <w:t>Owner and Fix</w:t>
      </w:r>
    </w:p>
    <w:p>
      <w:r>
        <w:t>Per today's status meeting: Samir Bhatt is the sole owner of the Northmoor / Sandhurst Closing Checklist. Quentin Sarr owns the Odell/Whitfield landlord estoppel escalation and reports status to Samir for consolidation into the checklist — not to the wider group directly. No other tracker is to be maintained in parallel.</w:t>
      </w:r>
    </w:p>
    <w:p>
      <w:r>
        <w:t>Concrete process fix: any change to checklist counts (good standing certs, officer's certs, consents, estoppels) is entered into the checklist document first, by Samir, before it is communicated anywhere else. Status updates to the deal team reference the checklist item numbers and are sourced from that single document. Quentin's landlord outreach updates go to Samir within the hour of any development, for same-day incorporation, rather than being broadcast separately.</w:t>
      </w:r>
    </w:p>
    <w:p>
      <w:pPr>
        <w:pStyle w:val="Heading2"/>
      </w:pPr>
      <w:r>
        <w:t>Current Status Under the Fixed Process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Status</w:t>
            </w:r>
          </w:p>
        </w:tc>
      </w:tr>
      <w:tr>
        <w:tc>
          <w:tcPr>
            <w:tcW w:type="dxa" w:w="2880"/>
          </w:tcPr>
          <w:p>
            <w:r>
              <w:t>6</w:t>
            </w:r>
          </w:p>
        </w:tc>
        <w:tc>
          <w:tcPr>
            <w:tcW w:type="dxa" w:w="2880"/>
          </w:tcPr>
          <w:p>
            <w:r>
              <w:t>Good standing certificates</w:t>
            </w:r>
          </w:p>
        </w:tc>
        <w:tc>
          <w:tcPr>
            <w:tcW w:type="dxa" w:w="2880"/>
          </w:tcPr>
          <w:p>
            <w:r>
              <w:t>11 of 12 back; Sandhurst Add-On 2, LLC outstanding, registered agent request submitted with tracking number, expected in 2 business days</w:t>
            </w:r>
          </w:p>
        </w:tc>
      </w:tr>
      <w:tr>
        <w:tc>
          <w:tcPr>
            <w:tcW w:type="dxa" w:w="2880"/>
          </w:tcPr>
          <w:p>
            <w:r>
              <w:t>7</w:t>
            </w:r>
          </w:p>
        </w:tc>
        <w:tc>
          <w:tcPr>
            <w:tcW w:type="dxa" w:w="2880"/>
          </w:tcPr>
          <w:p>
            <w:r>
              <w:t>Officer's certificates</w:t>
            </w:r>
          </w:p>
        </w:tc>
        <w:tc>
          <w:tcPr>
            <w:tcW w:type="dxa" w:w="2880"/>
          </w:tcPr>
          <w:p>
            <w:r>
              <w:t>3 of 4 back; missing certificate is Sandhurst Add-On 2, LLC's officer, four required signatories confirmed</w:t>
            </w:r>
          </w:p>
        </w:tc>
      </w:tr>
      <w:tr>
        <w:tc>
          <w:tcPr>
            <w:tcW w:type="dxa" w:w="2880"/>
          </w:tcPr>
          <w:p>
            <w:r>
              <w:t>9</w:t>
            </w:r>
          </w:p>
        </w:tc>
        <w:tc>
          <w:tcPr>
            <w:tcW w:type="dxa" w:w="2880"/>
          </w:tcPr>
          <w:p>
            <w:r>
              <w:t>Secretary's certificates</w:t>
            </w:r>
          </w:p>
        </w:tc>
        <w:tc>
          <w:tcPr>
            <w:tcW w:type="dxa" w:w="2880"/>
          </w:tcPr>
          <w:p>
            <w:r>
              <w:t>Complete</w:t>
            </w:r>
          </w:p>
        </w:tc>
      </w:tr>
      <w:tr>
        <w:tc>
          <w:tcPr>
            <w:tcW w:type="dxa" w:w="2880"/>
          </w:tcPr>
          <w:p>
            <w:r>
              <w:t>10</w:t>
            </w:r>
          </w:p>
        </w:tc>
        <w:tc>
          <w:tcPr>
            <w:tcW w:type="dxa" w:w="2880"/>
          </w:tcPr>
          <w:p>
            <w:r>
              <w:t>Non-competes (add-on principals)</w:t>
            </w:r>
          </w:p>
        </w:tc>
        <w:tc>
          <w:tcPr>
            <w:tcW w:type="dxa" w:w="2880"/>
          </w:tcPr>
          <w:p>
            <w:r>
              <w:t>Execution date confirmed by Northmoor counsel; one open redline on non-solicit scope per Sandhurst HR counsel</w:t>
            </w:r>
          </w:p>
        </w:tc>
      </w:tr>
      <w:tr>
        <w:tc>
          <w:tcPr>
            <w:tcW w:type="dxa" w:w="2880"/>
          </w:tcPr>
          <w:p>
            <w:r>
              <w:t>13</w:t>
            </w:r>
          </w:p>
        </w:tc>
        <w:tc>
          <w:tcPr>
            <w:tcW w:type="dxa" w:w="2880"/>
          </w:tcPr>
          <w:p>
            <w:r>
              <w:t>Consents – material contracts</w:t>
            </w:r>
          </w:p>
        </w:tc>
        <w:tc>
          <w:tcPr>
            <w:tcW w:type="dxa" w:w="2880"/>
          </w:tcPr>
          <w:p>
            <w:r>
              <w:t>13 of 14 back; outstanding counterparty identified, confirmed not a closing-condition contract</w:t>
            </w:r>
          </w:p>
        </w:tc>
      </w:tr>
      <w:tr>
        <w:tc>
          <w:tcPr>
            <w:tcW w:type="dxa" w:w="2880"/>
          </w:tcPr>
          <w:p>
            <w:r>
              <w:t>14</w:t>
            </w:r>
          </w:p>
        </w:tc>
        <w:tc>
          <w:tcPr>
            <w:tcW w:type="dxa" w:w="2880"/>
          </w:tcPr>
          <w:p>
            <w:r>
              <w:t>Consents – landlord estoppels</w:t>
            </w:r>
          </w:p>
        </w:tc>
        <w:tc>
          <w:tcPr>
            <w:tcW w:type="dxa" w:w="2880"/>
          </w:tcPr>
          <w:p>
            <w:r>
              <w:t>1 of 3 back; Odell and Whitfield outstanding, owned by Quentin, one landlord unresponsive after repeated attempts, callback requested within the hour or escalation</w:t>
            </w:r>
          </w:p>
        </w:tc>
      </w:tr>
      <w:tr>
        <w:tc>
          <w:tcPr>
            <w:tcW w:type="dxa" w:w="2880"/>
          </w:tcPr>
          <w:p>
            <w:r>
              <w:t>16</w:t>
            </w:r>
          </w:p>
        </w:tc>
        <w:tc>
          <w:tcPr>
            <w:tcW w:type="dxa" w:w="2880"/>
          </w:tcPr>
          <w:p>
            <w:r>
              <w:t>Overall closing readiness</w:t>
            </w:r>
          </w:p>
        </w:tc>
        <w:tc>
          <w:tcPr>
            <w:tcW w:type="dxa" w:w="2880"/>
          </w:tcPr>
          <w:p>
            <w:r>
              <w:t>Revised gating note reflects open items above; no other trackers in circulation</w:t>
            </w:r>
          </w:p>
        </w:tc>
      </w:tr>
    </w:tbl>
    <w:p>
      <w:r>
        <w:t>Post-fix check-in: today's status meeting and same-day chat confirmations from Dov, Ingrid, and Mira all matched the checklist of record without prompting a separate count — good standing at 11 of 12, estoppels at 1 of 3, consents at 13 of 14, all unchanged from the prior update. No parallel tracker has resurfaced since the owner assignment took effect.</w:t>
      </w:r>
    </w:p>
    <w:p>
      <w:pPr>
        <w:pStyle w:val="Heading2"/>
      </w:pPr>
      <w:r>
        <w:t>Recommendation</w:t>
      </w:r>
    </w:p>
    <w:p>
      <w:r>
        <w:t>Retain the single-owner model past this closing. On future deals of this size, name the checklist owner and any delegated escalation owner (e.g., landlord estoppels) at kickoff, in the checklist itself, so the split of responsibility is documented before status pressure creates parallel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