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Saoirse Mulvaney</w:t>
      </w:r>
    </w:p>
    <w:p>
      <w:r>
        <w:t>From: Dov Reinhardt</w:t>
      </w:r>
    </w:p>
    <w:p>
      <w:r>
        <w:t>Re: Sandhurst Platform Acquisition — MIP Ratchet Mechanic Correction</w:t>
      </w:r>
    </w:p>
    <w:p>
      <w:r>
        <w:t>Date: As filed</w:t>
      </w:r>
    </w:p>
    <w:p>
      <w:pPr>
        <w:pStyle w:val="Heading2"/>
      </w:pPr>
      <w:r>
        <w:t>1. Purpose</w:t>
      </w:r>
    </w:p>
    <w:p>
      <w:r>
        <w:t>This memorandum addresses the MIP ratchet mechanic issues flagged by Saoirse Mulvaney and confirms the corrected structure for the management incentive plan in the Sandhurst platform acquisition. The prior draft ratchet produced a discontinuity at the second breakpoint and permitted a management payout that exceeded sponsor proceeds in a low-return scenario. Both defects are corrected below.</w:t>
      </w:r>
    </w:p>
    <w:p>
      <w:pPr>
        <w:pStyle w:val="Heading2"/>
      </w:pPr>
      <w:r>
        <w:t>2. Problem Identified</w:t>
      </w:r>
    </w:p>
    <w:p>
      <w:pPr>
        <w:pStyle w:val="ListNumber"/>
      </w:pPr>
      <w:r>
        <w:t>The ratchet as drafted stepped management's pool percentage from 10% to 17.5% at a 2.0x MOIC breakpoint with no interpolation, creating a cliff that overpays management by roughly $1.4mm on proceeds one dollar above the breakpoint versus one dollar below.</w:t>
      </w:r>
    </w:p>
    <w:p>
      <w:pPr>
        <w:pStyle w:val="ListNumber"/>
      </w:pPr>
      <w:r>
        <w:t>Below a 1.5x MOIC threshold, the plan's minimum guaranteed pool of $2.5mm was not subordinated to the sponsor's preferred return, meaning in a sub-1.0x return scenario management could receive proceeds before the sponsor recovered invested capital.</w:t>
      </w:r>
    </w:p>
    <w:p>
      <w:pPr>
        <w:pStyle w:val="ListNumber"/>
      </w:pPr>
      <w:r>
        <w:t>The plan document did not address treatment of unvested units on a qualified IPO, leaving ambiguity that Whitfield's counsel has already flagged informally.</w:t>
      </w:r>
    </w:p>
    <w:p>
      <w:pPr>
        <w:pStyle w:val="Heading2"/>
      </w:pPr>
      <w:r>
        <w:t>3. Corrected Mechanic</w:t>
      </w:r>
    </w:p>
    <w:p>
      <w:pPr>
        <w:pStyle w:val="ListBullet"/>
      </w:pPr>
      <w:r>
        <w:t>Replace the single-step ratchet with linear interpolation between 1.5x MOIC (10% pool) and 3.0x MOIC (20% pool); no discontinuities at any breakpoint.</w:t>
      </w:r>
    </w:p>
    <w:p>
      <w:pPr>
        <w:pStyle w:val="ListBullet"/>
      </w:pPr>
      <w:r>
        <w:t>Subordinate the $2.5mm minimum guaranteed pool to full return of sponsor invested capital plus an 8% preferred return; the minimum pool is only funded from proceeds in excess of that threshold.</w:t>
      </w:r>
    </w:p>
    <w:p>
      <w:pPr>
        <w:pStyle w:val="ListBullet"/>
      </w:pPr>
      <w:r>
        <w:t>On a qualified IPO, unvested units accelerate pro rata based on elapsed time from grant to IPO date, consistent with the option pool treatment in the Sandhurst equity plan.</w:t>
      </w:r>
    </w:p>
    <w:p>
      <w:pPr>
        <w:pStyle w:val="Heading2"/>
      </w:pPr>
      <w:r>
        <w:t>4. Impact</w:t>
      </w:r>
    </w:p>
    <w:p>
      <w:r>
        <w:t>Under the corrected mechanic, the management pool payout at a 2.5x MOIC exit is $6.1mm versus $7.5mm under the flawed draft — a difference that runs entirely to the sponsor's benefit and removes the low-return overpayment scenario entirely. This aligns the plan with the term sheet economics Saoirse approved in June.</w:t>
      </w:r>
    </w:p>
    <w:p>
      <w:pPr>
        <w:pStyle w:val="Heading2"/>
      </w:pPr>
      <w:r>
        <w:t>5. Scenario Testing</w:t>
      </w:r>
    </w:p>
    <w:p>
      <w:r>
        <w:t>The corrected mechanic has been run against the full range of illustrative exit outcomes to confirm no residual discontinuities or overpayment scenarios remain:</w:t>
      </w:r>
    </w:p>
    <w:p>
      <w:pPr>
        <w:pStyle w:val="ListBullet"/>
      </w:pPr>
      <w:r>
        <w:t>1.0x MOIC — minimum pool fully subordinated; management receives $0 until sponsor capital plus 8% preferred is returned. No overpayment.</w:t>
      </w:r>
    </w:p>
    <w:p>
      <w:pPr>
        <w:pStyle w:val="ListBullet"/>
      </w:pPr>
      <w:r>
        <w:t>1.5x MOIC — pool at 10% floor, interpolation range begins; matches prior floor treatment.</w:t>
      </w:r>
    </w:p>
    <w:p>
      <w:pPr>
        <w:pStyle w:val="ListBullet"/>
      </w:pPr>
      <w:r>
        <w:t>2.0x MOIC — pool at 13.3% (interpolated); no cliff versus 1.9x or 2.1x outcomes.</w:t>
      </w:r>
    </w:p>
    <w:p>
      <w:pPr>
        <w:pStyle w:val="ListBullet"/>
      </w:pPr>
      <w:r>
        <w:t>2.5x MOIC — pool at 16.7% ($6.1mm payout), consistent with Section 4.</w:t>
      </w:r>
    </w:p>
    <w:p>
      <w:pPr>
        <w:pStyle w:val="ListBullet"/>
      </w:pPr>
      <w:r>
        <w:t>3.0x MOIC — pool at 20% ceiling; no further ratchet above this point.</w:t>
      </w:r>
    </w:p>
    <w:p>
      <w:r>
        <w:t>Each breakpoint was tested for continuity against the adjacent 0.1x MOIC increment; maximum payout delta across any increment is under $50k, versus the $1.4mm cliff in the flawed draft. This confirms the fix holds across the full return range the sponsor is likely to see at exit.</w:t>
      </w:r>
    </w:p>
    <w:p>
      <w:pPr>
        <w:pStyle w:val="Heading2"/>
      </w:pPr>
      <w:r>
        <w:t>6. Next Steps</w:t>
      </w:r>
    </w:p>
    <w:p>
      <w:pPr>
        <w:pStyle w:val="ListNumber"/>
      </w:pPr>
      <w:r>
        <w:t>Revise MIP plan document and circulate to Northmoor deal team by Thursday.</w:t>
      </w:r>
    </w:p>
    <w:p>
      <w:pPr>
        <w:pStyle w:val="ListNumber"/>
      </w:pPr>
      <w:r>
        <w:t>Confirm with sponsor counsel that subordination language tracks the credit agreement's payment waterfall — outstanding as of this memo.</w:t>
      </w:r>
    </w:p>
    <w:p>
      <w:pPr>
        <w:pStyle w:val="ListNumber"/>
      </w:pPr>
      <w:r>
        <w:t>Address Whitfield estoppel escalation separately at Thursday's working session — not to be conflated with this MIP fix.</w:t>
      </w:r>
    </w:p>
    <w:p>
      <w:pPr>
        <w:pStyle w:val="ListNumber"/>
      </w:pPr>
      <w:r>
        <w:t>Saoirse Mulvaney has asked directly whether this deal closes this quarter. Pending sponsor counsel confirmation on subordination language (Item 2 above), our answer to Saoirse is yes, contingent on that sign-off landing by Thursday's session; will confirm to Saoirse Mulvaney in writing once sponsor counsel responds.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