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Pellumbra / Ravenna Collaboration Agreement</w:t>
      </w:r>
    </w:p>
    <w:p>
      <w:pPr>
        <w:pStyle w:val="Heading2"/>
      </w:pPr>
      <w:r>
        <w:t>Section 2 Question List — Finalized</w:t>
      </w:r>
    </w:p>
    <w:p>
      <w:r>
        <w:t>This document memorializes the resolution of the three outstanding Section 2 questions discussed at the Section 4 meeting held on the prior business day. Each item below reflects the outcome agreed at that meeting. This list supersedes all prior drafts of the Section 2 question list.</w:t>
      </w:r>
    </w:p>
    <w:p>
      <w:pPr>
        <w:pStyle w:val="Heading2"/>
      </w:pPr>
      <w:r>
        <w:t>2.1 Field-of-Use Narrowing</w:t>
      </w:r>
    </w:p>
    <w:p>
      <w:r>
        <w:t>Status: Resolved.</w:t>
      </w:r>
    </w:p>
    <w:p>
      <w:r>
        <w:t>Outcome: The field-of-use grant is narrowed as agreed at the Section 4 meeting. The broader field-of-use language originally proposed is withdrawn; the narrowed field-of-use definition agreed at the meeting is to be carried into the operative agreement drafting. No further question remains open on this item.</w:t>
      </w:r>
    </w:p>
    <w:p>
      <w:pPr>
        <w:pStyle w:val="Heading2"/>
      </w:pPr>
      <w:r>
        <w:t>2.3 CM Confidentiality Undertaking</w:t>
      </w:r>
    </w:p>
    <w:p>
      <w:r>
        <w:t>Status: Resolved.</w:t>
      </w:r>
    </w:p>
    <w:p>
      <w:r>
        <w:t>Outcome: The contract manufacturer (CM) confidentiality undertaking is confirmed as agreed at the Section 4 meeting. The CM will be bound by a confidentiality undertaking on the terms discussed; no separate side letter is required. This item is closed.</w:t>
      </w:r>
    </w:p>
    <w:p>
      <w:pPr>
        <w:pStyle w:val="Heading2"/>
      </w:pPr>
      <w:r>
        <w:t>2.4 IP Ownership Split</w:t>
      </w:r>
    </w:p>
    <w:p>
      <w:r>
        <w:t>Status: Resolved.</w:t>
      </w:r>
    </w:p>
    <w:p>
      <w:r>
        <w:t>Outcome: The IP ownership split is confirmed as agreed at the Section 4 meeting. Ownership of jointly developed IP is to be allocated per the split discussed at that meeting; background IP ownership is unaffected. This item is closed.</w:t>
      </w:r>
    </w:p>
    <w:p>
      <w:pPr>
        <w:pStyle w:val="Heading2"/>
      </w:pPr>
      <w:r>
        <w:t>Record of Closure</w:t>
      </w:r>
    </w:p>
    <w:p>
      <w:r>
        <w:t>All three action items arising from the Section 4 meeting — 2.1, 2.3, and 2.4 — are confirmed done and are reflected in this finalized Section 2 question list. No open questions remain in Section 2 as of this filing.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