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Teodor Vasiliev, Adaora Nwosu, Fionnuala Doherty</w:t>
      </w:r>
    </w:p>
    <w:p>
      <w:r>
        <w:t>From: Gideon Park</w:t>
      </w:r>
    </w:p>
    <w:p>
      <w:r>
        <w:t>Re: Cross-Border Clinical Data Assessment — Jurisdictional Analysis for Series C Disclosure Schedule</w:t>
      </w:r>
    </w:p>
    <w:p>
      <w:pPr>
        <w:pStyle w:val="Heading2"/>
      </w:pPr>
      <w:r>
        <w:t>Purpose</w:t>
      </w:r>
    </w:p>
    <w:p>
      <w:r>
        <w:t>This memorandum closes out the flagged formatting and substantive item raised in the Pellumbra chat thread this week and sets out, in final form, the jurisdictional analysis of Pellumbra's cross-border clinical trial data flows so that it can be incorporated into the Series C disclosure schedule (tkt-000008) without further revision. Teodor raised an investor question about how clinical data handling is characterized for disclosure purposes; Cecile flagged that the prior draft's data-flow table did not match the entity list in the disclosure schedule appendix. That mismatch is corrected below. Adaora and Fionnuala have each confirmed sign-off on their portions (trial architecture and EU-side processing, respectively) as reflected in the thread.</w:t>
      </w:r>
    </w:p>
    <w:p>
      <w:r>
        <w:t>There is no prior audit memo covering this ground — none exists — so this memorandum is being built directly into the disclosure schedule work rather than layered on top of an earlier review. Consistent with my commitment to Teodor, this draft delivers a preliminary answer to two of the four investor questions: Q1 (the jurisdictional basis for each cross-border transfer leg) and Q4 (whether Pellumbra's privacy notices are consistent across the jurisdictions where trial data is collected). Q2 (whether the DPA terms match across sites) and Q3 (whether any jurisdiction imposes a data localization restriction we haven't accounted for) require review of the underlying site agreements and will follow separately; they are not addressed below.</w:t>
      </w:r>
    </w:p>
    <w:p>
      <w:pPr>
        <w:pStyle w:val="Heading2"/>
      </w:pPr>
      <w:r>
        <w:t>Background</w:t>
      </w:r>
    </w:p>
    <w:p>
      <w:r>
        <w:t>Pellumbra conducts multi-site clinical trials for its diagnostic platform through investigator sites in the United States, Germany, and Brazil. Trial data — including de-identified patient records, biospecimen metadata, and site-level case report forms — is collected locally, transmitted to Pellumbra's central data repository hosted in the United States, and in certain workflows returned to European academic collaborators for secondary analysis under a data use agreement. This structure raises three overlapping regimes: HIPAA (as it applies to U.S. site data through Pellumbra's business associate arrangements), GDPR (as data controller/processor issues arise for the German site and for the return transfer to European collaborators), and Brazil's LGPD (for the São Paulo site, added in the most recent trial amendment). The investor question Teodor forwarded asks, in substance, whether Pellumbra's cross-border transfer mechanism for the EU-to-Brazil and EU-to-US legs is adequate as currently documented, since the Series C disclosure schedule requires representations about compliance with data protection law in all jurisdictions where the company operates.</w:t>
      </w:r>
    </w:p>
    <w:p>
      <w:pPr>
        <w:pStyle w:val="Heading2"/>
      </w:pPr>
      <w:r>
        <w:t>Analysis</w:t>
      </w:r>
    </w:p>
    <w:p>
      <w:r>
        <w:t>U.S. leg: Site-level data transmitted to the central repository is governed by executed Business Associate Agreements with each U.S. site sponsor. These are in place and current; no gap to disclose.</w:t>
      </w:r>
    </w:p>
    <w:p>
      <w:r>
        <w:t>EU leg: The German site's data controller is the site sponsor, not Pellumbra, for purposes of initial collection. Pellumbra acts as processor under a Data Processing Agreement executed in March. The return transfer to European academic collaborators, however, is not covered by that DPA — it is a separate disclosure to a third party for secondary research use, and the underlying data use agreement with the collaborators does not currently incorporate Standard Contractual Clauses. This is the gap Cecile flagged as inconsistent with the entity list: the disclosure schedule appendix lists the European collaborators as "data recipients" but the SCC module referenced in the same appendix covers only the site-to-repository transfer, not the repository-to-collaborator transfer. That inconsistency is real and needs correction before the schedule is finalized — either the DUA is amended to incorporate SCCs for this leg, or the disclosure schedule is qualified to disclose the gap as a known item pending remediation. Given the Series C timeline, I recommend qualifying the schedule now rather than waiting on the DUA amendment; investors reviewing a candid, bounded disclosure item read better than a clean schedule with an undisclosed gap discovered later in diligence.</w:t>
      </w:r>
    </w:p>
    <w:p>
      <w:r>
        <w:t>Brazil leg: The São Paulo site was added after the original data protection assessment was drafted. LGPD's cross-border transfer provisions are structurally similar to GDPR's but the adequacy determinations differ, and Brazil has not been the subject of an adequacy decision for U.S. transfers. Pellumbra's transfer of São Paulo site data to the U.S. repository should rest on LGPD-compliant standard contractual clauses (Brazil's ANPD issued its own template) rather than relying on the GDPR SCC module, which does not address LGPD requirements. This is a second, smaller gap and should be disclosed alongside the EU item.</w:t>
      </w:r>
    </w:p>
    <w:p>
      <w:r>
        <w:t>Q1 — jurisdictional transfer basis, summarized: the U.S. leg rests on BAAs (adequate, no gap); the EU-to-US repository leg rests on the DPA's SCC module (adequate, no gap); the EU-to-collaborator leg has no SCC coverage (gap, addressed above); and the Brazil-to-US leg relies on the wrong SCC template — GDPR's rather than ANPD's LGPD-specific version (gap, addressed above). In short, two of the four transfer legs are properly grounded; two require the remediation already described.</w:t>
      </w:r>
    </w:p>
    <w:p>
      <w:r>
        <w:t>Q4 — privacy notice consistency: Pellumbra's site-level privacy notices are not uniform across jurisdictions, and on the current record that is appropriate rather than a defect, provided each notice correctly reflects the law and role applicable to that site. The U.S. notice is drafted to HIPAA's authorization and business-associate disclosure requirements. The German site's notice is drafted to GDPR Article 13/14 requirements and correctly identifies the site sponsor, not Pellumbra, as controller for initial collection — but it does not currently disclose the downstream transfer to European academic collaborators as a distinct processing purpose, which it should, since that transfer is a disclosure to a new recipient for a different purpose (secondary research) than the trial itself. The São Paulo site's notice is drafted to LGPD's Article 9 requirements but was not updated when the site was added mid-trial to reflect the cross-border transfer to the U.S. repository as a distinct disclosure. So the interesting problem here is that both gaps are the same gap in different clothing: the notices were each drafted correctly for their home jurisdiction at the time of drafting, but neither was revisited when a new downstream transfer leg was added, so the notice and the transfer mechanism have drifted out of sync in the same two places identified under Q1. Fixing the SCC gaps without also updating the corresponding notices would leave the transfer mechanism sound but the disclosure to data subjects incomplete — both need to move together.</w:t>
      </w:r>
    </w:p>
    <w:p>
      <w:pPr>
        <w:pStyle w:val="Heading2"/>
      </w:pPr>
      <w:r>
        <w:t>Recommendation</w:t>
      </w:r>
    </w:p>
    <w:p>
      <w:pPr>
        <w:pStyle w:val="ListNumber"/>
      </w:pPr>
      <w:r>
        <w:t>Qualify the Series C disclosure schedule's data protection representation to disclose both the EU collaborator transfer gap and the Brazil transfer mechanism gap, each described as a known item with a remediation timeline rather than left unstated.</w:t>
      </w:r>
    </w:p>
    <w:p>
      <w:pPr>
        <w:pStyle w:val="ListNumber"/>
      </w:pPr>
      <w:r>
        <w:t>Task the DUA amendment (EU collaborators) and the LGPD-compliant transfer clause (Brazil site) as follow-up items with a 45-day target, tracked outside the disclosure schedule itself.</w:t>
      </w:r>
    </w:p>
    <w:p>
      <w:pPr>
        <w:pStyle w:val="ListNumber"/>
      </w:pPr>
      <w:r>
        <w:t>Update the German-site and São Paulo-site privacy notices in the same remediation pass to disclose the downstream cross-border transfers as distinct processing purposes, so notice content and transfer mechanism are corrected together rather than sequentially.</w:t>
      </w:r>
    </w:p>
    <w:p>
      <w:pPr>
        <w:pStyle w:val="ListNumber"/>
      </w:pPr>
      <w:r>
        <w:t>Update the disclosure schedule appendix's entity list so the SCC module reference matches the actual transfer legs it covers, resolving the inconsistency Cecile identified.</w:t>
      </w:r>
    </w:p>
    <w:p>
      <w:pPr>
        <w:pStyle w:val="ListNumber"/>
      </w:pPr>
      <w:r>
        <w:t>Respond to Teodor's investor question by confirming the gap, describing it as identified and being remediated on a defined timeline — this is a materially better answer than silence and is consistent with how we are treating it in the schedule.</w:t>
      </w:r>
    </w:p>
    <w:p>
      <w:pPr>
        <w:pStyle w:val="ListNumber"/>
      </w:pPr>
      <w:r>
        <w:t>Treat Q1 and Q4 above as the preliminary answer committed for end of week; follow with Q2 (DPA term consistency across sites) and Q3 (data localization restrictions) once the underlying site agreements have been reviewed.</w:t>
      </w:r>
    </w:p>
    <w:p>
      <w:r>
        <w:t>So the interesting problem underneath all of this is that clinical trial consortia grow their data-sharing footprint faster than their transfer paperwork keeps up — every added site is also an added transfer leg, and nobody re-runs the cross-border analysis when a site gets added mid-trial. I'd suggest we build a checklist step for future site additions so this doesn't recur in the next fundraising cycle.</w:t>
      </w:r>
    </w:p>
    <w:p>
      <w:r>
        <w:t>Please confirm you're each aligned with the recommendation above so I can circulate the revised schedule language to the deal team by end of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