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Pellumbra File — Per-Teodor Vasiliev</w:t>
            </w:r>
          </w:p>
        </w:tc>
      </w:tr>
      <w:tr>
        <w:tc>
          <w:tcPr>
            <w:tcW w:type="dxa" w:w="4320"/>
          </w:tcPr>
          <w:p>
            <w:r>
              <w:t>From</w:t>
            </w:r>
          </w:p>
        </w:tc>
        <w:tc>
          <w:tcPr>
            <w:tcW w:type="dxa" w:w="4320"/>
          </w:tcPr>
          <w:p>
            <w:r>
              <w:t>Gideon Park</w:t>
            </w:r>
          </w:p>
        </w:tc>
      </w:tr>
      <w:tr>
        <w:tc>
          <w:tcPr>
            <w:tcW w:type="dxa" w:w="4320"/>
          </w:tcPr>
          <w:p>
            <w:r>
              <w:t>Re</w:t>
            </w:r>
          </w:p>
        </w:tc>
        <w:tc>
          <w:tcPr>
            <w:tcW w:type="dxa" w:w="4320"/>
          </w:tcPr>
          <w:p>
            <w:r>
              <w:t>Departure of Former Engineering Lead — Control-Loop IP Exposure Assessment</w:t>
            </w:r>
          </w:p>
        </w:tc>
      </w:tr>
      <w:tr>
        <w:tc>
          <w:tcPr>
            <w:tcW w:type="dxa" w:w="4320"/>
          </w:tcPr>
          <w:p>
            <w:r>
              <w:t>Status</w:t>
            </w:r>
          </w:p>
        </w:tc>
        <w:tc>
          <w:tcPr>
            <w:tcW w:type="dxa" w:w="4320"/>
          </w:tcPr>
          <w:p>
            <w:r>
              <w:t>Draft for internal review — not for distribution outside the firm</w:t>
            </w:r>
          </w:p>
        </w:tc>
      </w:tr>
    </w:tbl>
    <w:p>
      <w:pPr>
        <w:pStyle w:val="Heading2"/>
      </w:pPr>
      <w:r>
        <w:t>1. Purpose</w:t>
      </w:r>
    </w:p>
    <w:p>
      <w:r>
        <w:t>This memorandum assesses litigation exposure arising from the departure of Pellumbra's former engineering lead who had primary design responsibility for the control-loop algorithms underlying the collaboration work with Ravenna, and who is understood to have accepted a position with a company operating in an adjacent space. It identifies the immediate steps counsel and Pellumbra should take in the next 5-10 business days to preserve the company's trade-secret and contractual position, and flags interaction with the pending Series C disclosure schedule and the cross-border clinical data assessment already underway for investor diligence.</w:t>
      </w:r>
    </w:p>
    <w:p>
      <w:pPr>
        <w:pStyle w:val="Heading2"/>
      </w:pPr>
      <w:r>
        <w:t>2. Background</w:t>
      </w:r>
    </w:p>
    <w:p>
      <w:r>
        <w:t>The individual served as engineering lead on the control-loop subsystem that is core to the technology licensed under the Pellumbra-Ravenna collaboration agreement (tkt-000007). His employment terminated recently, and the circumstances of departure (voluntary resignation versus negotiated exit) remain to be confirmed with Pellumbra's HR contact. He had broad access to source code, tuning parameters, and test data for the control-loop algorithms, as well as to correspondence with Ravenna concerning integration requirements. Preliminary information suggests his new employer's published product roadmap includes a control-loop feature set that overlaps functionally with Pellumbra's core IP, though the technical basis for that overlap has not yet been examined.</w:t>
      </w:r>
    </w:p>
    <w:p>
      <w:pPr>
        <w:pStyle w:val="Heading2"/>
      </w:pPr>
      <w:r>
        <w:t>3. Exposure Assessment</w:t>
      </w:r>
    </w:p>
    <w:p>
      <w:pPr>
        <w:pStyle w:val="ListBullet"/>
      </w:pPr>
      <w:r>
        <w:t>Trade secret exposure: the control-loop tuning methodology and associated test data appear to meet the elements of a trade secret (economic value from secrecy, reasonable protective measures) if Pellumbra's confidentiality and device-return policies were followed at exit. This needs verification against actual practice, not policy language.</w:t>
      </w:r>
    </w:p>
    <w:p>
      <w:pPr>
        <w:pStyle w:val="ListBullet"/>
      </w:pPr>
      <w:r>
        <w:t>Contractual exposure: the individual's employment agreement should be reviewed for post-employment confidentiality, invention-assignment, and non-solicitation provisions. Unlike the Halden Orthopedics non-compete matter, there is no indication yet of a standalone non-compete covenant for this individual; assignment and confidentiality clauses are likely to be the operative protections.</w:t>
      </w:r>
    </w:p>
    <w:p>
      <w:pPr>
        <w:pStyle w:val="ListBullet"/>
      </w:pPr>
      <w:r>
        <w:t>Ravenna interface exposure: because the collaboration agreement contemplates joint development and cross-licensing of control-loop improvements, any misappropriation claim will need to be squared with Ravenna's own rights under that agreement. Before pursuing action against the former employee or his new employer, we should confirm what IP, if any, Pellumbra can unilaterally assert versus what is jointly owned or licensed to Ravenna.</w:t>
      </w:r>
    </w:p>
    <w:p>
      <w:pPr>
        <w:pStyle w:val="ListBullet"/>
      </w:pPr>
      <w:r>
        <w:t>Disclosure schedule exposure: the Series C disclosure schedule (tkt-000008) will need an IP representation addressing ongoing disputes or threatened claims. If this matter develops into a dispute, it must be reflected there; if it does not, we should still document the assessment supporting a clean representation.</w:t>
      </w:r>
    </w:p>
    <w:p>
      <w:pPr>
        <w:pStyle w:val="ListBullet"/>
      </w:pPr>
      <w:r>
        <w:t>Investor diligence overlap: the cross-border clinical data assessment work already flags data-handling questions from investors. A departure involving a technical lead with system-wide access invites investor questions about data governance generally; we should be prepared for that question to surface in diligence even if it is not IP-specific.</w:t>
      </w:r>
    </w:p>
    <w:p>
      <w:pPr>
        <w:pStyle w:val="Heading2"/>
      </w:pPr>
      <w:r>
        <w:t>4. Immediate Steps (Next 5-10 Business Days)</w:t>
      </w:r>
    </w:p>
    <w:p>
      <w:pPr>
        <w:pStyle w:val="ListNumber"/>
      </w:pPr>
      <w:r>
        <w:t>Obtain and review the individual's employment agreement, invention-assignment agreement, and any exit paperwork (separation agreement, exit interview notes, device return acknowledgment).</w:t>
      </w:r>
    </w:p>
    <w:p>
      <w:pPr>
        <w:pStyle w:val="ListNumber"/>
      </w:pPr>
      <w:r>
        <w:t>Confirm with Pellumbra IT what systems and repositories the individual had access to, when access was revoked, and whether any anomalous data transfers (large downloads, external drive use, personal cloud uploads) occurred in the 60 days preceding departure.</w:t>
      </w:r>
    </w:p>
    <w:p>
      <w:pPr>
        <w:pStyle w:val="ListNumber"/>
      </w:pPr>
      <w:r>
        <w:t>Send a measured, non-accusatory reminder-of-obligations letter to the individual reiterating confidentiality and assignment obligations — a standard step that preserves the record without escalating prematurely.</w:t>
      </w:r>
    </w:p>
    <w:p>
      <w:pPr>
        <w:pStyle w:val="ListNumber"/>
      </w:pPr>
      <w:r>
        <w:t>Cross-check the new employer's public product materials against Pellumbra's control-loop claims to assess whether there is a credible, articulable overlap worth investigating further, as opposed to generic industry functionality.</w:t>
      </w:r>
    </w:p>
    <w:p>
      <w:pPr>
        <w:pStyle w:val="ListNumber"/>
      </w:pPr>
      <w:r>
        <w:t>Review the Ravenna collaboration agreement's IP ownership and joint-development provisions to determine Pellumbra's unilateral enforcement rights versus obligations to consult or coordinate with Ravenna.</w:t>
      </w:r>
    </w:p>
    <w:p>
      <w:pPr>
        <w:pStyle w:val="ListNumber"/>
      </w:pPr>
      <w:r>
        <w:t>Loop in Pellumbra's corporate team (Series C workstream) so the disclosure schedule reflects an accurate, current status of this matter as it evolves.</w:t>
      </w:r>
    </w:p>
    <w:p>
      <w:pPr>
        <w:pStyle w:val="ListNumber"/>
      </w:pPr>
      <w:r>
        <w:t>Hold off on any demand letter or litigation threat to the new employer until items 1-5 are complete; premature escalation without a documented factual basis increases exposure rather than reducing it.</w:t>
      </w:r>
    </w:p>
    <w:p>
      <w:pPr>
        <w:pStyle w:val="Heading2"/>
      </w:pPr>
      <w:r>
        <w:t>5. Open Questions for Pellumbra</w:t>
      </w:r>
    </w:p>
    <w:p>
      <w:pPr>
        <w:pStyle w:val="ListBullet"/>
      </w:pPr>
      <w:r>
        <w:t>Was the departure voluntary, and was any severance or release signed that might affect our leverage or obligations?</w:t>
      </w:r>
    </w:p>
    <w:p>
      <w:pPr>
        <w:pStyle w:val="ListBullet"/>
      </w:pPr>
      <w:r>
        <w:t>Does Pellumbra have forensic capability in-house, or will we need an outside vendor to image and review the individual's company devices?</w:t>
      </w:r>
    </w:p>
    <w:p>
      <w:pPr>
        <w:pStyle w:val="ListBullet"/>
      </w:pPr>
      <w:r>
        <w:t>Has anyone at Pellumbra already contacted the individual or his new employer informally? Any such contact needs to be captured and assessed for privilege and waiver issues.</w:t>
      </w:r>
    </w:p>
    <w:p>
      <w:pPr>
        <w:pStyle w:val="Heading2"/>
      </w:pPr>
      <w:r>
        <w:t>6. Next Steps</w:t>
      </w:r>
    </w:p>
    <w:p>
      <w:r>
        <w:t>I will circulate the reminder-of-obligations letter draft once HR confirms exit documentation, and will report back on the Ravenna agreement's joint-ownership analysis by end of week. I recommend a short call with Pellumbra's GC to align on messaging before any outreach to the former employee or public statements to the Series C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