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Pellumbra File</w:t>
      </w:r>
    </w:p>
    <w:p>
      <w:r>
        <w:t>From: Gideon Park</w:t>
      </w:r>
    </w:p>
    <w:p>
      <w:r>
        <w:t>Re: Cross-Border Clinical Data Assessment — Interim Findings and Open Issues</w:t>
      </w:r>
    </w:p>
    <w:p>
      <w:pPr>
        <w:pStyle w:val="Heading2"/>
      </w:pPr>
      <w:r>
        <w:t>1. Purpose and Scope</w:t>
      </w:r>
    </w:p>
    <w:p>
      <w:r>
        <w:t>This memorandum summarizes the interim findings of our assessment of Pellumbra's cross-border clinical trial data flows, undertaken in connection with the Ravenna collaboration agreement (tkt-000007) and the pending Series C disclosure schedule (tkt-000008). The purpose is to identify where clinical data generated or collected outside the United States is transferred, processed, or stored, to flag the legal bases (or absence of legal bases) currently relied upon for those transfers, and to surface issues that need resolution before the collaboration agreement is finalized and before the disclosure schedule is populated for Series C diligence.</w:t>
      </w:r>
    </w:p>
    <w:p>
      <w:r>
        <w:t>This is a working document. It reflects information gathered to date from Pellumbra's clinical operations team and from the data flow diagrams Ravenna's technical team provided on the collaboration. It is not a final compliance opinion and should not be shared outside the deal team without discussing scope and caveats first.</w:t>
      </w:r>
    </w:p>
    <w:p>
      <w:pPr>
        <w:pStyle w:val="Heading2"/>
      </w:pPr>
      <w:r>
        <w:t>2. Background: Why This Matters Now</w:t>
      </w:r>
    </w:p>
    <w:p>
      <w:r>
        <w:t>Pellumbra runs clinical trial sites in at least three jurisdictions outside the United States as part of its ongoing programs, and the proposed Ravenna collaboration contemplates pooling clinical datasets from those sites with data Ravenna holds from its own European trial network. Two things are converging on the same timeline: first, the collaboration agreement needs data-sharing and data-processing terms that actually match what the parties intend to do with the data, not boilerplate; second, Series C investor counsel will expect the disclosure schedule to identify any material data protection exposure, including cross-border transfer mechanisms that are informal, undocumented, or resting on outdated adequacy assumptions.</w:t>
      </w:r>
    </w:p>
    <w:p>
      <w:r>
        <w:t>The interesting problem here is that the two workstreams pull in different directions. The collaboration agreement wants us to describe the data flows expansively enough to cover what the parties actually plan to do together. The disclosure schedule wants us to describe exposure conservatively, because overstating a clean bill of health to investors creates its own liability. Both documents need to rest on the same underlying facts, so getting the facts pinned down here, once, is worth the time before either drafting exercise proceeds further.</w:t>
      </w:r>
    </w:p>
    <w:p>
      <w:pPr>
        <w:pStyle w:val="Heading2"/>
      </w:pPr>
      <w:r>
        <w:t>3. Data Flows Identified to Date</w:t>
      </w:r>
    </w:p>
    <w:p>
      <w:pPr>
        <w:pStyle w:val="ListNumber"/>
      </w:pPr>
      <w:r>
        <w:t>Site-to-sponsor: Trial sites in Germany, Poland, and South Korea transmit patient-level case report form data to Pellumbra's clinical data management platform, hosted on servers in the United States. This is the core flow underlying every ongoing protocol.</w:t>
      </w:r>
    </w:p>
    <w:p>
      <w:pPr>
        <w:pStyle w:val="ListNumber"/>
      </w:pPr>
      <w:r>
        <w:t>Sponsor-to-CRO: A subset of monitoring and adverse-event data is shared with Pellumbra's contract research organization, which has processing operations in the UK and India. We have not yet confirmed whether the CRO's India processing is covered by a current data processing agreement or standard contractual clauses.</w:t>
      </w:r>
    </w:p>
    <w:p>
      <w:pPr>
        <w:pStyle w:val="ListNumber"/>
      </w:pPr>
      <w:r>
        <w:t>Proposed sponsor-to-collaborator (Ravenna): Under the draft collaboration agreement, Pellumbra would share de-identified — but not fully anonymized — datasets from the German and Polish sites with Ravenna's research team in France, for joint analysis. This flow does not yet exist operationally; it is the flow the collaboration agreement is meant to authorize and govern.</w:t>
      </w:r>
    </w:p>
    <w:p>
      <w:pPr>
        <w:pStyle w:val="ListNumber"/>
      </w:pPr>
      <w:r>
        <w:t>Historical transfers: Clinical data from a discontinued 2022 trial in Brazil remains on a legacy vendor platform. Ownership of that vendor relationship and the applicable transfer mechanism (if any) has not been located in the files reviewed so far.</w:t>
      </w:r>
    </w:p>
    <w:p>
      <w:pPr>
        <w:pStyle w:val="Heading2"/>
      </w:pPr>
      <w:r>
        <w:t>4. Legal Bases Currently Relied Upon</w:t>
      </w:r>
    </w:p>
    <w:tbl>
      <w:tblPr>
        <w:tblW w:type="auto" w:w="0"/>
        <w:tblLook w:firstColumn="1" w:firstRow="1" w:lastColumn="0" w:lastRow="0" w:noHBand="0" w:noVBand="1" w:val="04A0"/>
      </w:tblPr>
      <w:tblGrid>
        <w:gridCol w:w="2160"/>
        <w:gridCol w:w="2160"/>
        <w:gridCol w:w="2160"/>
        <w:gridCol w:w="2160"/>
      </w:tblGrid>
      <w:tr>
        <w:tc>
          <w:tcPr>
            <w:tcW w:type="dxa" w:w="2160"/>
          </w:tcPr>
          <w:p>
            <w:r>
              <w:t>Flow</w:t>
            </w:r>
          </w:p>
        </w:tc>
        <w:tc>
          <w:tcPr>
            <w:tcW w:type="dxa" w:w="2160"/>
          </w:tcPr>
          <w:p>
            <w:r>
              <w:t>Jurisdiction(s)</w:t>
            </w:r>
          </w:p>
        </w:tc>
        <w:tc>
          <w:tcPr>
            <w:tcW w:type="dxa" w:w="2160"/>
          </w:tcPr>
          <w:p>
            <w:r>
              <w:t>Stated Basis</w:t>
            </w:r>
          </w:p>
        </w:tc>
        <w:tc>
          <w:tcPr>
            <w:tcW w:type="dxa" w:w="2160"/>
          </w:tcPr>
          <w:p>
            <w:r>
              <w:t>Status / Concern</w:t>
            </w:r>
          </w:p>
        </w:tc>
      </w:tr>
      <w:tr>
        <w:tc>
          <w:tcPr>
            <w:tcW w:type="dxa" w:w="2160"/>
          </w:tcPr>
          <w:p>
            <w:r>
              <w:t>Site-to-sponsor</w:t>
            </w:r>
          </w:p>
        </w:tc>
        <w:tc>
          <w:tcPr>
            <w:tcW w:type="dxa" w:w="2160"/>
          </w:tcPr>
          <w:p>
            <w:r>
              <w:t>Germany, Poland → US</w:t>
            </w:r>
          </w:p>
        </w:tc>
        <w:tc>
          <w:tcPr>
            <w:tcW w:type="dxa" w:w="2160"/>
          </w:tcPr>
          <w:p>
            <w:r>
              <w:t>Standard contractual clauses referenced in site agreements</w:t>
            </w:r>
          </w:p>
        </w:tc>
        <w:tc>
          <w:tcPr>
            <w:tcW w:type="dxa" w:w="2160"/>
          </w:tcPr>
          <w:p>
            <w:r>
              <w:t>SCCs on file are the pre-2021 EU form; need updated modules</w:t>
            </w:r>
          </w:p>
        </w:tc>
      </w:tr>
      <w:tr>
        <w:tc>
          <w:tcPr>
            <w:tcW w:type="dxa" w:w="2160"/>
          </w:tcPr>
          <w:p>
            <w:r>
              <w:t>Sponsor-to-CRO</w:t>
            </w:r>
          </w:p>
        </w:tc>
        <w:tc>
          <w:tcPr>
            <w:tcW w:type="dxa" w:w="2160"/>
          </w:tcPr>
          <w:p>
            <w:r>
              <w:t>UK, India</w:t>
            </w:r>
          </w:p>
        </w:tc>
        <w:tc>
          <w:tcPr>
            <w:tcW w:type="dxa" w:w="2160"/>
          </w:tcPr>
          <w:p>
            <w:r>
              <w:t>DPA referenced in master services agreement</w:t>
            </w:r>
          </w:p>
        </w:tc>
        <w:tc>
          <w:tcPr>
            <w:tcW w:type="dxa" w:w="2160"/>
          </w:tcPr>
          <w:p>
            <w:r>
              <w:t>India-specific addendum not yet located; requesting from CRO</w:t>
            </w:r>
          </w:p>
        </w:tc>
      </w:tr>
      <w:tr>
        <w:tc>
          <w:tcPr>
            <w:tcW w:type="dxa" w:w="2160"/>
          </w:tcPr>
          <w:p>
            <w:r>
              <w:t>Proposed sponsor-to-collaborator</w:t>
            </w:r>
          </w:p>
        </w:tc>
        <w:tc>
          <w:tcPr>
            <w:tcW w:type="dxa" w:w="2160"/>
          </w:tcPr>
          <w:p>
            <w:r>
              <w:t>Germany, Poland → France</w:t>
            </w:r>
          </w:p>
        </w:tc>
        <w:tc>
          <w:tcPr>
            <w:tcW w:type="dxa" w:w="2160"/>
          </w:tcPr>
          <w:p>
            <w:r>
              <w:t>None yet — subject of current negotiation</w:t>
            </w:r>
          </w:p>
        </w:tc>
        <w:tc>
          <w:tcPr>
            <w:tcW w:type="dxa" w:w="2160"/>
          </w:tcPr>
          <w:p>
            <w:r>
              <w:t>Open; this is the gap the collaboration agreement must close</w:t>
            </w:r>
          </w:p>
        </w:tc>
      </w:tr>
      <w:tr>
        <w:tc>
          <w:tcPr>
            <w:tcW w:type="dxa" w:w="2160"/>
          </w:tcPr>
          <w:p>
            <w:r>
              <w:t>Historical Brazil data</w:t>
            </w:r>
          </w:p>
        </w:tc>
        <w:tc>
          <w:tcPr>
            <w:tcW w:type="dxa" w:w="2160"/>
          </w:tcPr>
          <w:p>
            <w:r>
              <w:t>Brazil → legacy vendor, location unconfirmed</w:t>
            </w:r>
          </w:p>
        </w:tc>
        <w:tc>
          <w:tcPr>
            <w:tcW w:type="dxa" w:w="2160"/>
          </w:tcPr>
          <w:p>
            <w:r>
              <w:t>Unknown</w:t>
            </w:r>
          </w:p>
        </w:tc>
        <w:tc>
          <w:tcPr>
            <w:tcW w:type="dxa" w:w="2160"/>
          </w:tcPr>
          <w:p>
            <w:r>
              <w:t>Open; need to confirm whether data is still held, by whom, and under what terms</w:t>
            </w:r>
          </w:p>
        </w:tc>
      </w:tr>
    </w:tbl>
    <w:p>
      <w:pPr>
        <w:pStyle w:val="Heading2"/>
      </w:pPr>
      <w:r>
        <w:t>5. Open Issues Requiring Resolution</w:t>
      </w:r>
    </w:p>
    <w:p>
      <w:pPr>
        <w:pStyle w:val="ListBullet"/>
      </w:pPr>
      <w:r>
        <w:t>Confirm whether the German and Polish trial sites' informed consent forms permit sharing de-identified data with a third-party collaborator such as Ravenna, or whether re-consent or a consent amendment is required. This is a threshold question for the collaboration agreement's data-sharing schedule and cannot be papered around contractually.</w:t>
      </w:r>
    </w:p>
    <w:p>
      <w:pPr>
        <w:pStyle w:val="ListBullet"/>
      </w:pPr>
      <w:r>
        <w:t>Obtain the current India-specific data processing addendum from the CRO, or confirm none exists and remediate.</w:t>
      </w:r>
    </w:p>
    <w:p>
      <w:pPr>
        <w:pStyle w:val="ListBullet"/>
      </w:pPr>
      <w:r>
        <w:t>Locate the legacy Brazil trial vendor agreement and determine current data location, retention status, and any applicable transfer mechanism. If the agreement cannot be located, escalate for a decision on whether to treat this as a disclosed gap or to attempt vendor outreach before the disclosure schedule is finalized.</w:t>
      </w:r>
    </w:p>
    <w:p>
      <w:pPr>
        <w:pStyle w:val="ListBullet"/>
      </w:pPr>
      <w:r>
        <w:t>Determine whether the de-identification methodology Pellumbra uses for the proposed Ravenna data set meets the standard the parties are assuming in the draft collaboration agreement's definitions section — 'de-identified' is being used loosely in current drafts and needs a firm technical definition tied to an actual methodology, not a label.</w:t>
      </w:r>
    </w:p>
    <w:p>
      <w:pPr>
        <w:pStyle w:val="ListBullet"/>
      </w:pPr>
      <w:r>
        <w:t>Decide, for disclosure schedule purposes, how to characterize the SCC modernization gap on the site-to-sponsor flow: as a completed remediation item, an in-progress item with a timeline, or a disclosed risk. This determination should be made jointly with the corporate team handling the Series C schedule so the characterization is consistent across both matters.</w:t>
      </w:r>
    </w:p>
    <w:p>
      <w:pPr>
        <w:pStyle w:val="Heading2"/>
      </w:pPr>
      <w:r>
        <w:t>6. Recommended Next Steps</w:t>
      </w:r>
    </w:p>
    <w:p>
      <w:pPr>
        <w:pStyle w:val="ListNumber"/>
      </w:pPr>
      <w:r>
        <w:t>Request the India CRO addendum and the legacy Brazil vendor file this week; both are prerequisites to closing the factual gaps above.</w:t>
      </w:r>
    </w:p>
    <w:p>
      <w:pPr>
        <w:pStyle w:val="ListNumber"/>
      </w:pPr>
      <w:r>
        <w:t>Convene a short working session with Pellumbra's clinical operations lead to confirm the informed consent scope before the collaboration agreement's data-sharing article is next drafted.</w:t>
      </w:r>
    </w:p>
    <w:p>
      <w:pPr>
        <w:pStyle w:val="ListNumber"/>
      </w:pPr>
      <w:r>
        <w:t>Align with the corporate team on disclosure schedule characterization once the SCC and Brazil items are resolved, so the two work products are not filed on inconsistent factual premises.</w:t>
      </w:r>
    </w:p>
    <w:p>
      <w:pPr>
        <w:pStyle w:val="ListNumber"/>
      </w:pPr>
      <w:r>
        <w:t>Update this assessment once the above items close, and circulate the updated version to both deal teams before the collaboration agreement's next full draft circulates.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