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 — Pellumbra Cross-Border Clinical Data Assessment</w:t>
            </w:r>
          </w:p>
        </w:tc>
      </w:tr>
      <w:tr>
        <w:tc>
          <w:tcPr>
            <w:tcW w:type="dxa" w:w="4320"/>
          </w:tcPr>
          <w:p>
            <w:r>
              <w:t>From</w:t>
            </w:r>
          </w:p>
        </w:tc>
        <w:tc>
          <w:tcPr>
            <w:tcW w:type="dxa" w:w="4320"/>
          </w:tcPr>
          <w:p>
            <w:r>
              <w:t>Elena Vasquez-Reyes</w:t>
            </w:r>
          </w:p>
        </w:tc>
      </w:tr>
      <w:tr>
        <w:tc>
          <w:tcPr>
            <w:tcW w:type="dxa" w:w="4320"/>
          </w:tcPr>
          <w:p>
            <w:r>
              <w:t>Re</w:t>
            </w:r>
          </w:p>
        </w:tc>
        <w:tc>
          <w:tcPr>
            <w:tcW w:type="dxa" w:w="4320"/>
          </w:tcPr>
          <w:p>
            <w:r>
              <w:t>Preliminary regulatory analysis — transfer of clinical trial data across EU/US border in connection with Series C diligence and Ravenna collaboration</w:t>
            </w:r>
          </w:p>
        </w:tc>
      </w:tr>
      <w:tr>
        <w:tc>
          <w:tcPr>
            <w:tcW w:type="dxa" w:w="4320"/>
          </w:tcPr>
          <w:p>
            <w:r>
              <w:t>Status</w:t>
            </w:r>
          </w:p>
        </w:tc>
        <w:tc>
          <w:tcPr>
            <w:tcW w:type="dxa" w:w="4320"/>
          </w:tcPr>
          <w:p>
            <w:r>
              <w:t>Draft — for internal review before client transmittal</w:t>
            </w:r>
          </w:p>
        </w:tc>
      </w:tr>
    </w:tbl>
    <w:p>
      <w:pPr>
        <w:pStyle w:val="Heading2"/>
      </w:pPr>
      <w:r>
        <w:t>I. Purpose</w:t>
      </w:r>
    </w:p>
    <w:p>
      <w:r>
        <w:t>This memorandum responds to the question raised by Teodor Vasiliev regarding the permissibility of transferring clinical trial subject-level data generated at Pellumbra's EU trial sites to its US-based data science team, and summarizes the preliminary view offered by Gideon Park's team on the mechanism available to support that transfer. It also flags the intersection between this question and the Series C disclosure schedule and the Ravenna collaboration agreement, both of which reference the same data set.</w:t>
      </w:r>
    </w:p>
    <w:p>
      <w:pPr>
        <w:pStyle w:val="Heading2"/>
      </w:pPr>
      <w:r>
        <w:t>II. Background</w:t>
      </w:r>
    </w:p>
    <w:p>
      <w:r>
        <w:t>Pellumbra conducts clinical trials at sites in Germany and Belgium. Subject-level data, including some special-category health data under Article 9 GDPR, is currently housed on EU servers. The proposed data science workflow would require ongoing access by US-based personnel for analysis supporting both the Series C round and deliverables under the prospective Ravenna collaboration agreement (Ticket 007).</w:t>
      </w:r>
    </w:p>
    <w:p>
      <w:pPr>
        <w:pStyle w:val="Heading2"/>
      </w:pPr>
      <w:r>
        <w:t>III. Question Presented</w:t>
      </w:r>
    </w:p>
    <w:p>
      <w:r>
        <w:t>Whether Pellumbra may lawfully transfer EU-origin clinical trial data to US personnel absent an adequacy decision, and if so, by what mechanism, consistent with Article 46 GDPR.</w:t>
      </w:r>
    </w:p>
    <w:p>
      <w:pPr>
        <w:pStyle w:val="Heading2"/>
      </w:pPr>
      <w:r>
        <w:t>IV. Preliminary Analysis</w:t>
      </w:r>
    </w:p>
    <w:p>
      <w:pPr>
        <w:pStyle w:val="ListNumber"/>
      </w:pPr>
      <w:r>
        <w:t>No EU adequacy decision currently covers general-purpose transfer to the United States following Schrems II; reliance on the EU-US Data Privacy Framework is available only if the US recipient is DPF-certified.</w:t>
      </w:r>
    </w:p>
    <w:p>
      <w:pPr>
        <w:pStyle w:val="ListNumber"/>
      </w:pPr>
      <w:r>
        <w:t>Absent DPF certification, the Standard Contractual Clauses (Article 46(2)(c) GDPR, 2021 Module 1/2 forms) remain the primary mechanism, coupled with a Transfer Impact Assessment addressing US government access risk under FISA 702.</w:t>
      </w:r>
    </w:p>
    <w:p>
      <w:pPr>
        <w:pStyle w:val="ListNumber"/>
      </w:pPr>
      <w:r>
        <w:t>Special-category health data under Article 9 heightens the standard applied in the Transfer Impact Assessment; supplementary measures (pseudonymization prior to transfer, encryption in transit and at rest with EU-held keys) should be documented, not merely referenced.</w:t>
      </w:r>
    </w:p>
    <w:p>
      <w:pPr>
        <w:pStyle w:val="ListNumber"/>
      </w:pPr>
      <w:r>
        <w:t>The Ravenna collaboration agreement's data-sharing provisions (Ticket 007) should be reviewed against this mechanism before execution, so the collaboration does not create a second, uncoordinated transfer chain.</w:t>
      </w:r>
    </w:p>
    <w:p>
      <w:pPr>
        <w:pStyle w:val="ListNumber"/>
      </w:pPr>
      <w:r>
        <w:t>The Series C disclosure schedule (Ticket 008) should carry a specific representation addressing the absence, to date, of an executed SCC package, to avoid an undisclosed compliance gap being characterized post-closing as a known and unaddressed risk.</w:t>
      </w:r>
    </w:p>
    <w:p>
      <w:pPr>
        <w:pStyle w:val="Heading2"/>
      </w:pPr>
      <w:r>
        <w:t>V. Open Items</w:t>
      </w:r>
    </w:p>
    <w:p>
      <w:pPr>
        <w:pStyle w:val="ListBullet"/>
      </w:pPr>
      <w:r>
        <w:t>Confirm whether Pellumbra's US data science entity is, or intends to become, DPF-certified.</w:t>
      </w:r>
    </w:p>
    <w:p>
      <w:pPr>
        <w:pStyle w:val="ListBullet"/>
      </w:pPr>
      <w:r>
        <w:t>Obtain current pseudonymization protocol documentation from Pellumbra's clinical operations team.</w:t>
      </w:r>
    </w:p>
    <w:p>
      <w:pPr>
        <w:pStyle w:val="ListBullet"/>
      </w:pPr>
      <w:r>
        <w:t>Align SCC execution timeline with Series C signing schedule.</w:t>
      </w:r>
    </w:p>
    <w:p>
      <w:pPr>
        <w:pStyle w:val="ListBullet"/>
      </w:pPr>
      <w:r>
        <w:t>Coordinate with Ravenna collaboration drafting team on data-sharing clause before next markup.</w:t>
      </w:r>
    </w:p>
    <w:p>
      <w:pPr>
        <w:pStyle w:val="Heading2"/>
      </w:pPr>
      <w:r>
        <w:t>VI. Next Steps</w:t>
      </w:r>
    </w:p>
    <w:p>
      <w:r>
        <w:t>Circulate this memorandum to Gideon Park for confirmation of the SCC/TIA approach, then prepare the disclosure schedule language for Ticket 008 and flag the Ravenna draft for coordinated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