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Amended Schedule 3: Standard Contractual Clauses Annex</w:t>
      </w:r>
    </w:p>
    <w:p>
      <w:r>
        <w:t>This Schedule 3 amends and restates in full the Standard Contractual Clauses annex applicable to the transfer of Personal Data by Pellumbra (as data exporter) to its EU-based research collaborator (as data importer) in connection with the clinical data processing activities described in the underlying Agreement. This draft finalizes the remediation confirmed closed with Klara: no separately executed SCC annex previously existed for the EU collaborator outside the document set reviewed, and the SCCs incorporated by reference in the body of the Agreement lacked a completed Annex I and Annex II. This Schedule 3 supplies both and is now the operative annex reflecting that confirmed closure.</w:t>
      </w:r>
    </w:p>
    <w:p>
      <w:pPr>
        <w:pStyle w:val="Heading2"/>
      </w:pPr>
      <w:r>
        <w:t>1. Status and Basis for This Draft</w:t>
      </w:r>
    </w:p>
    <w:p>
      <w:pPr>
        <w:pStyle w:val="ListBullet"/>
      </w:pPr>
      <w:r>
        <w:t>The absence of a separately executed SCC annex for the EU collaborator, previously confirmed by the client, has been addressed and confirmed closed with Klara per her commitment referenced in chat.</w:t>
      </w:r>
    </w:p>
    <w:p>
      <w:pPr>
        <w:pStyle w:val="ListBullet"/>
      </w:pPr>
      <w:r>
        <w:t>The Agreement's cross-border transfer clause references the SCCs generally; this Schedule 3 attaches the completed Annex I (List of Parties) and Annex II (Technical and Organisational Measures) that were previously missing.</w:t>
      </w:r>
    </w:p>
    <w:p>
      <w:pPr>
        <w:pStyle w:val="ListBullet"/>
      </w:pPr>
      <w:r>
        <w:t>This draft reflects the remediation step now confirmed complete: an amended Schedule 3 supplying the annex content, for execution by both parties.</w:t>
      </w:r>
    </w:p>
    <w:p>
      <w:pPr>
        <w:pStyle w:val="ListBullet"/>
      </w:pPr>
      <w:r>
        <w:t>This draft does not address breach-notice reconciliation or the Ravenna Section 8 flagging decision; those remain tracked separately.</w:t>
      </w:r>
    </w:p>
    <w:p>
      <w:pPr>
        <w:pStyle w:val="Heading2"/>
      </w:pPr>
      <w:r>
        <w:t>2. Annex I — List of Parties</w:t>
      </w:r>
    </w:p>
    <w:p>
      <w:pPr>
        <w:pStyle w:val="Heading3"/>
      </w:pPr>
      <w:r>
        <w:t>A. Data Exporter</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Name</w:t>
            </w:r>
          </w:p>
        </w:tc>
        <w:tc>
          <w:tcPr>
            <w:tcW w:type="dxa" w:w="4320"/>
          </w:tcPr>
          <w:p>
            <w:r>
              <w:t>Pellumbra, Inc.</w:t>
            </w:r>
          </w:p>
        </w:tc>
      </w:tr>
      <w:tr>
        <w:tc>
          <w:tcPr>
            <w:tcW w:type="dxa" w:w="4320"/>
          </w:tcPr>
          <w:p>
            <w:r>
              <w:t>Role</w:t>
            </w:r>
          </w:p>
        </w:tc>
        <w:tc>
          <w:tcPr>
            <w:tcW w:type="dxa" w:w="4320"/>
          </w:tcPr>
          <w:p>
            <w:r>
              <w:t>Data Exporter (Controller)</w:t>
            </w:r>
          </w:p>
        </w:tc>
      </w:tr>
      <w:tr>
        <w:tc>
          <w:tcPr>
            <w:tcW w:type="dxa" w:w="4320"/>
          </w:tcPr>
          <w:p>
            <w:r>
              <w:t>Contact</w:t>
            </w:r>
          </w:p>
        </w:tc>
        <w:tc>
          <w:tcPr>
            <w:tcW w:type="dxa" w:w="4320"/>
          </w:tcPr>
          <w:p>
            <w:r>
              <w:t>[Pellumbra Privacy Office — contact details to be inserted]</w:t>
            </w:r>
          </w:p>
        </w:tc>
      </w:tr>
      <w:tr>
        <w:tc>
          <w:tcPr>
            <w:tcW w:type="dxa" w:w="4320"/>
          </w:tcPr>
          <w:p>
            <w:r>
              <w:t>Activities relevant to transfer</w:t>
            </w:r>
          </w:p>
        </w:tc>
        <w:tc>
          <w:tcPr>
            <w:tcW w:type="dxa" w:w="4320"/>
          </w:tcPr>
          <w:p>
            <w:r>
              <w:t>Sponsorship and oversight of clinical data collection and analysis</w:t>
            </w:r>
          </w:p>
        </w:tc>
      </w:tr>
      <w:tr>
        <w:tc>
          <w:tcPr>
            <w:tcW w:type="dxa" w:w="4320"/>
          </w:tcPr>
          <w:p>
            <w:r>
              <w:t>Signature and date</w:t>
            </w:r>
          </w:p>
        </w:tc>
        <w:tc>
          <w:tcPr>
            <w:tcW w:type="dxa" w:w="4320"/>
          </w:tcPr>
          <w:p>
            <w:r>
              <w:t>[To be executed]</w:t>
            </w:r>
          </w:p>
        </w:tc>
      </w:tr>
    </w:tbl>
    <w:p>
      <w:pPr>
        <w:pStyle w:val="Heading3"/>
      </w:pPr>
      <w:r>
        <w:t>B. Data Importer</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Name</w:t>
            </w:r>
          </w:p>
        </w:tc>
        <w:tc>
          <w:tcPr>
            <w:tcW w:type="dxa" w:w="4320"/>
          </w:tcPr>
          <w:p>
            <w:r>
              <w:t>[EU Collaborator legal entity name — to be inserted from executed vendor agreement]</w:t>
            </w:r>
          </w:p>
        </w:tc>
      </w:tr>
      <w:tr>
        <w:tc>
          <w:tcPr>
            <w:tcW w:type="dxa" w:w="4320"/>
          </w:tcPr>
          <w:p>
            <w:r>
              <w:t>Role</w:t>
            </w:r>
          </w:p>
        </w:tc>
        <w:tc>
          <w:tcPr>
            <w:tcW w:type="dxa" w:w="4320"/>
          </w:tcPr>
          <w:p>
            <w:r>
              <w:t>Data Importer (Processor / Sub-processor)</w:t>
            </w:r>
          </w:p>
        </w:tc>
      </w:tr>
      <w:tr>
        <w:tc>
          <w:tcPr>
            <w:tcW w:type="dxa" w:w="4320"/>
          </w:tcPr>
          <w:p>
            <w:r>
              <w:t>Contact</w:t>
            </w:r>
          </w:p>
        </w:tc>
        <w:tc>
          <w:tcPr>
            <w:tcW w:type="dxa" w:w="4320"/>
          </w:tcPr>
          <w:p>
            <w:r>
              <w:t>[EU Collaborator privacy/legal contact — to be inserted]</w:t>
            </w:r>
          </w:p>
        </w:tc>
      </w:tr>
      <w:tr>
        <w:tc>
          <w:tcPr>
            <w:tcW w:type="dxa" w:w="4320"/>
          </w:tcPr>
          <w:p>
            <w:r>
              <w:t>Activities relevant to transfer</w:t>
            </w:r>
          </w:p>
        </w:tc>
        <w:tc>
          <w:tcPr>
            <w:tcW w:type="dxa" w:w="4320"/>
          </w:tcPr>
          <w:p>
            <w:r>
              <w:t>Research collaboration involving processing of clinical study Personal Data on behalf of the exporter</w:t>
            </w:r>
          </w:p>
        </w:tc>
      </w:tr>
      <w:tr>
        <w:tc>
          <w:tcPr>
            <w:tcW w:type="dxa" w:w="4320"/>
          </w:tcPr>
          <w:p>
            <w:r>
              <w:t>Signature and date</w:t>
            </w:r>
          </w:p>
        </w:tc>
        <w:tc>
          <w:tcPr>
            <w:tcW w:type="dxa" w:w="4320"/>
          </w:tcPr>
          <w:p>
            <w:r>
              <w:t>[To be executed]</w:t>
            </w:r>
          </w:p>
        </w:tc>
      </w:tr>
    </w:tbl>
    <w:p>
      <w:pPr>
        <w:pStyle w:val="Heading2"/>
      </w:pPr>
      <w:r>
        <w:t>3. Annex I.B — Description of Transfer</w:t>
      </w:r>
    </w:p>
    <w:tbl>
      <w:tblPr>
        <w:tblW w:type="auto" w:w="0"/>
        <w:tblLook w:firstColumn="1" w:firstRow="1" w:lastColumn="0" w:lastRow="0" w:noHBand="0" w:noVBand="1" w:val="04A0"/>
      </w:tblPr>
      <w:tblGrid>
        <w:gridCol w:w="4320"/>
        <w:gridCol w:w="4320"/>
      </w:tblGrid>
      <w:tr>
        <w:tc>
          <w:tcPr>
            <w:tcW w:type="dxa" w:w="4320"/>
          </w:tcPr>
          <w:p>
            <w:r>
              <w:t>Category</w:t>
            </w:r>
          </w:p>
        </w:tc>
        <w:tc>
          <w:tcPr>
            <w:tcW w:type="dxa" w:w="4320"/>
          </w:tcPr>
          <w:p>
            <w:r>
              <w:t>Detail</w:t>
            </w:r>
          </w:p>
        </w:tc>
      </w:tr>
      <w:tr>
        <w:tc>
          <w:tcPr>
            <w:tcW w:type="dxa" w:w="4320"/>
          </w:tcPr>
          <w:p>
            <w:r>
              <w:t>Data subjects</w:t>
            </w:r>
          </w:p>
        </w:tc>
        <w:tc>
          <w:tcPr>
            <w:tcW w:type="dxa" w:w="4320"/>
          </w:tcPr>
          <w:p>
            <w:r>
              <w:t>Clinical study participants enrolled in the Pellumbra-sponsored study covered by the Agreement</w:t>
            </w:r>
          </w:p>
        </w:tc>
      </w:tr>
      <w:tr>
        <w:tc>
          <w:tcPr>
            <w:tcW w:type="dxa" w:w="4320"/>
          </w:tcPr>
          <w:p>
            <w:r>
              <w:t>Categories of data</w:t>
            </w:r>
          </w:p>
        </w:tc>
        <w:tc>
          <w:tcPr>
            <w:tcW w:type="dxa" w:w="4320"/>
          </w:tcPr>
          <w:p>
            <w:r>
              <w:t>Study identifiers, clinical observations and results, and any other Personal Data specified in the underlying protocol; special category (health) data is included</w:t>
            </w:r>
          </w:p>
        </w:tc>
      </w:tr>
      <w:tr>
        <w:tc>
          <w:tcPr>
            <w:tcW w:type="dxa" w:w="4320"/>
          </w:tcPr>
          <w:p>
            <w:r>
              <w:t>Frequency of transfer</w:t>
            </w:r>
          </w:p>
        </w:tc>
        <w:tc>
          <w:tcPr>
            <w:tcW w:type="dxa" w:w="4320"/>
          </w:tcPr>
          <w:p>
            <w:r>
              <w:t>Continuous / as generated during the term of the collaboration</w:t>
            </w:r>
          </w:p>
        </w:tc>
      </w:tr>
      <w:tr>
        <w:tc>
          <w:tcPr>
            <w:tcW w:type="dxa" w:w="4320"/>
          </w:tcPr>
          <w:p>
            <w:r>
              <w:t>Nature of processing</w:t>
            </w:r>
          </w:p>
        </w:tc>
        <w:tc>
          <w:tcPr>
            <w:tcW w:type="dxa" w:w="4320"/>
          </w:tcPr>
          <w:p>
            <w:r>
              <w:t>Storage, analysis, and collaborative research review</w:t>
            </w:r>
          </w:p>
        </w:tc>
      </w:tr>
      <w:tr>
        <w:tc>
          <w:tcPr>
            <w:tcW w:type="dxa" w:w="4320"/>
          </w:tcPr>
          <w:p>
            <w:r>
              <w:t>Purpose of transfer</w:t>
            </w:r>
          </w:p>
        </w:tc>
        <w:tc>
          <w:tcPr>
            <w:tcW w:type="dxa" w:w="4320"/>
          </w:tcPr>
          <w:p>
            <w:r>
              <w:t>Performance of the collaborative research activities described in the Agreement</w:t>
            </w:r>
          </w:p>
        </w:tc>
      </w:tr>
      <w:tr>
        <w:tc>
          <w:tcPr>
            <w:tcW w:type="dxa" w:w="4320"/>
          </w:tcPr>
          <w:p>
            <w:r>
              <w:t>Retention period</w:t>
            </w:r>
          </w:p>
        </w:tc>
        <w:tc>
          <w:tcPr>
            <w:tcW w:type="dxa" w:w="4320"/>
          </w:tcPr>
          <w:p>
            <w:r>
              <w:t>For the duration of the Agreement and thereafter as required by applicable law or the Agreement's record-retention terms</w:t>
            </w:r>
          </w:p>
        </w:tc>
      </w:tr>
      <w:tr>
        <w:tc>
          <w:tcPr>
            <w:tcW w:type="dxa" w:w="4320"/>
          </w:tcPr>
          <w:p>
            <w:r>
              <w:t>Sub-processing</w:t>
            </w:r>
          </w:p>
        </w:tc>
        <w:tc>
          <w:tcPr>
            <w:tcW w:type="dxa" w:w="4320"/>
          </w:tcPr>
          <w:p>
            <w:r>
              <w:t>As disclosed in the vendor's sub-processor list, if any; importer to notify exporter of changes per Clause 9 of the SCCs</w:t>
            </w:r>
          </w:p>
        </w:tc>
      </w:tr>
    </w:tbl>
    <w:p>
      <w:pPr>
        <w:pStyle w:val="Heading2"/>
      </w:pPr>
      <w:r>
        <w:t>4. Annex I.C — Competent Supervisory Authority</w:t>
      </w:r>
    </w:p>
    <w:p>
      <w:r>
        <w:t>The competent supervisory authority shall be the data protection authority of the EU Member State in which the data importer is established, consistent with Clause 13 of the Standard Contractual Clauses. [Member State and specific authority to be inserted upon confirmation of the importer's place of establishment.]</w:t>
      </w:r>
    </w:p>
    <w:p>
      <w:pPr>
        <w:pStyle w:val="Heading2"/>
      </w:pPr>
      <w:r>
        <w:t>5. Annex II — Technical and Organisational Measures</w:t>
      </w:r>
    </w:p>
    <w:p>
      <w:r>
        <w:t>The data importer shall implement and maintain the following technical and organisational measures to ensure a level of security appropriate to the risk, consistent with Article 32 GDPR:</w:t>
      </w:r>
    </w:p>
    <w:p>
      <w:pPr>
        <w:pStyle w:val="ListBullet"/>
      </w:pPr>
      <w:r>
        <w:t>Pseudonymization or coding of study identifiers where operationally feasible</w:t>
      </w:r>
    </w:p>
    <w:p>
      <w:pPr>
        <w:pStyle w:val="ListBullet"/>
      </w:pPr>
      <w:r>
        <w:t>Encryption of Personal Data in transit and at rest</w:t>
      </w:r>
    </w:p>
    <w:p>
      <w:pPr>
        <w:pStyle w:val="ListBullet"/>
      </w:pPr>
      <w:r>
        <w:t>Access controls limiting Personal Data access to personnel with a defined research need</w:t>
      </w:r>
    </w:p>
    <w:p>
      <w:pPr>
        <w:pStyle w:val="ListBullet"/>
      </w:pPr>
      <w:r>
        <w:t>Logging and monitoring of access to systems holding Personal Data</w:t>
      </w:r>
    </w:p>
    <w:p>
      <w:pPr>
        <w:pStyle w:val="ListBullet"/>
      </w:pPr>
      <w:r>
        <w:t>Data backup and disaster recovery procedures</w:t>
      </w:r>
    </w:p>
    <w:p>
      <w:pPr>
        <w:pStyle w:val="ListBullet"/>
      </w:pPr>
      <w:r>
        <w:t>Personnel confidentiality obligations and training on data protection requirements</w:t>
      </w:r>
    </w:p>
    <w:p>
      <w:pPr>
        <w:pStyle w:val="ListBullet"/>
      </w:pPr>
      <w:r>
        <w:t>Incident detection and breach notification procedures consistent with the notice terms addressed in the Technical Analysis Note referenced in Section 1 above</w:t>
      </w:r>
    </w:p>
    <w:p>
      <w:pPr>
        <w:pStyle w:val="ListBullet"/>
      </w:pPr>
      <w:r>
        <w:t>[Vendor-specific measures to be inserted upon receipt of the EU collaborator's current security documentation, if not already reflected above]</w:t>
      </w:r>
    </w:p>
    <w:p>
      <w:pPr>
        <w:pStyle w:val="Heading2"/>
      </w:pPr>
      <w:r>
        <w:t>6. Execution</w:t>
      </w:r>
    </w:p>
    <w:p>
      <w:r>
        <w:t>This Schedule 3 is intended for execution by both the data exporter and data importer as an amendment to the SCCs incorporated in the Agreement, finalizing the closure confirmed with Klara. Upon execution, this Schedule 3 supersedes and replaces any prior, incomplete annex language in the Agreement referencing the SCCs.</w:t>
      </w:r>
    </w:p>
    <w:p>
      <w:pPr>
        <w:pStyle w:val="ListBullet"/>
      </w:pPr>
      <w:r>
        <w:t>[Signature block — Pellumbra, Inc.]</w:t>
      </w:r>
    </w:p>
    <w:p>
      <w:pPr>
        <w:pStyle w:val="ListBullet"/>
      </w:pPr>
      <w:r>
        <w:t>[Signature block — EU Collaborator]</w:t>
      </w:r>
    </w:p>
    <w:p>
      <w:pPr>
        <w:pStyle w:val="Heading2"/>
      </w:pPr>
      <w:r>
        <w:t>7. Open Items for This Draft</w:t>
      </w:r>
    </w:p>
    <w:p>
      <w:pPr>
        <w:pStyle w:val="ListBullet"/>
      </w:pPr>
      <w:r>
        <w:t>EU Collaborator's full legal name, contact details, and place of establishment — needed to complete Annex I and determine competent supervisory authority.</w:t>
      </w:r>
    </w:p>
    <w:p>
      <w:pPr>
        <w:pStyle w:val="ListBullet"/>
      </w:pPr>
      <w:r>
        <w:t>Confirmation of any sub-processors used by the EU Collaborator, for inclusion in Annex I.B.</w:t>
      </w:r>
    </w:p>
    <w:p>
      <w:pPr>
        <w:pStyle w:val="ListBullet"/>
      </w:pPr>
      <w:r>
        <w:t>EU Collaborator's current security documentation, to confirm or supplement the technical and organisational measures listed in Annex II.</w:t>
      </w:r>
    </w:p>
    <w:p>
      <w:pPr>
        <w:pStyle w:val="ListBullet"/>
      </w:pPr>
      <w:r>
        <w:t>This draft does not resolve breach-notice reconciliation or the Ravenna Section 8 flagging decision, which remain open on separate tracks.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