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Cross-Border Clinical Data Assessment — IP Ownership Clause 2.4 Analysis</w:t>
      </w:r>
    </w:p>
    <w:p>
      <w:r>
        <w:t>This memorandum sets out the analysis of clause 2.4 as it bears on IP ownership in the cross-border clinical data context, incorporating reviewer notes added during the review pass. The underlying analysis is unchanged from the prior version; this revision corrects formatting only, reflowing the content into headings and paragraphs in place of undifferentiated text.</w:t>
      </w:r>
    </w:p>
    <w:p>
      <w:pPr>
        <w:pStyle w:val="Heading2"/>
      </w:pPr>
      <w:r>
        <w:t>1. Scope</w:t>
      </w:r>
    </w:p>
    <w:p>
      <w:r>
        <w:t>This assessment addresses whether clause 2.4 is consistent with the grant language of clause 2.3, and whether the data-processing arrangements supporting the cross-border clinical data flows are adequately supported by the agreement's terms, including the BAAs and the DPA's SCC module.</w:t>
      </w:r>
    </w:p>
    <w:p>
      <w:pPr>
        <w:pStyle w:val="Heading2"/>
      </w:pPr>
      <w:r>
        <w:t>2. Clause 2.4 and Clause 2.3 Consistency</w:t>
      </w:r>
    </w:p>
    <w:p>
      <w:r>
        <w:t>Clause 2.4 is consistent with clause 2.3's grant language. This reading agrees with Gideon's review, and Oskar confirms the analysis on that basis. No conflict between the two clauses has been identified.</w:t>
      </w:r>
    </w:p>
    <w:p>
      <w:pPr>
        <w:pStyle w:val="Heading2"/>
      </w:pPr>
      <w:r>
        <w:t>3. Adequacy of BAAs and DPA SCC Module</w:t>
      </w:r>
    </w:p>
    <w:p>
      <w:r>
        <w:t>The prior draft stated that the BAAs and the DPA's SCC module are "adequate, no gap." [Reviewer note: this claim is unverified and is not tied to citation of the actual clause text. The conclusion should be qualified until the underlying clause language is quoted and checked against the specific data flows at issue.]</w:t>
      </w:r>
    </w:p>
    <w:p>
      <w:pPr>
        <w:pStyle w:val="Heading2"/>
      </w:pPr>
      <w:r>
        <w:t>4. Sign-Off Claims</w:t>
      </w:r>
    </w:p>
    <w:p>
      <w:r>
        <w:t>The prior draft referenced sign-off having been obtained on certain items. [Reviewer note: these sign-off claims are unverified. Confirmation of who signed off, and on what specific scope, should be obtained and cited before this is relied upon.]</w:t>
      </w:r>
    </w:p>
    <w:p>
      <w:pPr>
        <w:pStyle w:val="Heading2"/>
      </w:pPr>
      <w:r>
        <w:t>5. Qualify vs. Amend</w:t>
      </w:r>
    </w:p>
    <w:p>
      <w:r>
        <w:t>The prior draft presented the choice between qualifying the analysis and amending the clause as a settled conclusion. [Reviewer note: this is an open call, not a conclusion. The memorandum should identify this as a decision point for the engagement team rather than as resolved.]</w:t>
      </w:r>
    </w:p>
    <w:p>
      <w:pPr>
        <w:pStyle w:val="Heading2"/>
      </w:pPr>
      <w:r>
        <w:t>6. Reviewer Sign-Off</w:t>
      </w:r>
    </w:p>
    <w:p>
      <w:r>
        <w:t>The undersigned reviewer has tightened conclusions not supported by the analysis shown and has signed off on the portions that are adequately supported. Underlying text has been left intact; bracketed reviewer notes have been added rather than rewriting content.</w:t>
      </w:r>
    </w:p>
    <w:p>
      <w:pPr>
        <w:pStyle w:val="Heading2"/>
      </w:pPr>
      <w:r>
        <w:t>7. Status</w:t>
      </w:r>
    </w:p>
    <w:p>
      <w:r>
        <w:t>This document remains a memorandum-in-progress with review annotations. It is a working draft, not a final work product, and should be circulated and revised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