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Analysis Note — SCC Addendum Location and Breach-Notice Reconciliation</w:t>
      </w:r>
    </w:p>
    <w:p>
      <w:r>
        <w:t>This note resolves the two substantive open items carried forward from doc-000130 (Section 4, as restructured): (1) location of the Standard Contractual Clauses (SCC) addendum within the vendor's data-transfer documentation, and (2) reconciliation of breach-notice timing and mechanics across the EU collaborator agreement, the Brazil vendor agreement, and the underlying BAA/DPA terms reviewed in the Vendor BAA/DPA Terms Review Memorandum. The Ravenna Section 8 flagging decision is not addressed here and remains open.</w:t>
      </w:r>
    </w:p>
    <w:p>
      <w:pPr>
        <w:pStyle w:val="Heading2"/>
      </w:pPr>
      <w:r>
        <w:t>1. SCC Addendum Location</w:t>
      </w:r>
    </w:p>
    <w:p>
      <w:r>
        <w:t>What the agreements say: the EU collaborator agreement's data protection schedule ("Schedule 3 — Data Protection Terms") states that "the parties shall execute the Standard Contractual Clauses, attached as Annex 1 to this Schedule." No document titled or labeled "Annex 1" was located in the executed EU collaborator agreement set reviewed. The SCCs do appear, in full module text, as an attachment to the separate Brazil vendor DPA, executed roughly eight months later, which incorporates them by a materially identical clause ("attached as Annex 1 to this Data Processing Addendum").</w:t>
      </w:r>
    </w:p>
    <w:p>
      <w:r>
        <w:t>Conclusion: the SCC text exists and is complete, but it is physically attached to the wrong contract. The EU collaborator agreement's Schedule 3 cross-reference to "Annex 1 to this Schedule" is unsatisfied on the face of the EU collaborator's own executed document set. This is a mislocation, not a missing-clause problem — the substantive module selections (Module 2, controller-to-processor, matching the EU collaborator's role) are present in the Brazil-attached copy and are the correct modules for the EU collaborator relationship on their terms.</w:t>
      </w:r>
    </w:p>
    <w:p>
      <w:r>
        <w:t>Client confirmation received: the client has confirmed that no separately executed SCC annex for the EU collaborator agreement exists outside the reviewed document set. Accordingly, this is a confirmed drafting defect, not merely a possible one, and the contingency described in the prior draft of this note (awaiting confirmation) is resolved in favor of remediation.</w:t>
      </w:r>
    </w:p>
    <w:p>
      <w:r>
        <w:t>Recommended fix, now the live action item: (a) the EU collaborator agreement should be amended to attach its own Module 2 SCC annex (the Brazil-attached text may be used as the template, with counterparty identification fields corrected — the current attachment identifies the Brazil vendor as data importer, which is incorrect for the EU collaborator context and cannot simply be re-attached without those fields being changed); (b) do not treat the Brazil vendor's SCC attachment as satisfying the EU collaborator's Schedule 3 obligation merely because the clause language is identical — the two are separate contracts and each requires its own properly identified annex; (c) a draft amended annex should be prepared and circulated for client and counterparty review as the next step under this item.</w:t>
      </w:r>
    </w:p>
    <w:p>
      <w:pPr>
        <w:pStyle w:val="Heading2"/>
      </w:pPr>
      <w:r>
        <w:t>2. Breach-Notice Reconciliation</w:t>
      </w:r>
    </w:p>
    <w:p>
      <w:r>
        <w:t>What each document says, in full:</w:t>
      </w:r>
    </w:p>
    <w:p>
      <w:pPr>
        <w:pStyle w:val="ListNumber"/>
      </w:pPr>
      <w:r>
        <w:t>EU collaborator DPA, Section 9.2: "Processor shall notify Controller without undue delay, and in any event within 48 hours, after becoming aware of a Personal Data Breach."</w:t>
      </w:r>
    </w:p>
    <w:p>
      <w:pPr>
        <w:pStyle w:val="ListNumber"/>
      </w:pPr>
      <w:r>
        <w:t>Brazil vendor DPA, Section 7.4: "Processor shall notify Controller promptly, and in no event later than 5 business days, following discovery of any Security Incident."</w:t>
      </w:r>
    </w:p>
    <w:p>
      <w:pPr>
        <w:pStyle w:val="ListNumber"/>
      </w:pPr>
      <w:r>
        <w:t>Underlying BAA (as summarized in the Vendor BAA/DPA Terms Review Memorandum), Section 5.1: "Business Associate shall report any Breach of Unsecured PHI to Covered Entity without unreasonable delay and in no case later than 10 calendar days after discovery."</w:t>
      </w:r>
    </w:p>
    <w:p>
      <w:r>
        <w:t>These three notice periods (48 hours, 5 business days, 10 calendar days) are not in conflict with one another as a matter of contract construction: each governs a distinct data category and a distinct counterparty relationship (EU personal data under the collaborator DPA; Brazil-processed data under the Brazil vendor DPA; PHI under the BAA), and none of the three agreements purports to set a single unified notice standard across all data types. The reconciliation question left open in doc-000130 is therefore not which clause controls, but whether a single breach event touching data governed by more than one agreement triggers the shortest applicable window.</w:t>
      </w:r>
    </w:p>
    <w:p>
      <w:r>
        <w:t>Conclusion: on the definitions as drafted, a breach event involving both EU personal data and PHI (a realistic scenario given the clinical data set at issue) would require notice under both the 48-hour EU collaborator clause and the 10-calendar-day BAA clause independently and concurrently — the shorter period is not overridden by the longer one, nor does satisfying the longer period excuse the shorter. Neither agreement contains a coordination or precedence clause addressing overlapping breaches. This is not itself a defect requiring drafting; it is a factual operational point that should be flagged to the client's incident-response function so that a single trigger event is checked against all three notice clocks rather than only the one tied to the counterparty who first identifies the incident.</w:t>
      </w:r>
    </w:p>
    <w:p>
      <w:pPr>
        <w:pStyle w:val="Heading2"/>
      </w:pPr>
      <w:r>
        <w:t>3. Status</w:t>
      </w:r>
    </w:p>
    <w:p>
      <w:r>
        <w:t>SCC addendum location: confirmed defect. Client has confirmed no separately executed EU collaborator SCC annex exists; remediation drafting per Section 1(a)-(c) above is now the outstanding task, with a draft amended annex to be prepared and circulated as the next step. Breach-notice reconciliation: resolved as a matter of contract interpretation — no drafting conflict exists — subject to the operational flag in Section 2 being communicated to the client. Ravenna Section 8 flagging decision remains outstanding and is not addressed in this note.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