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MEMORANDUM</w:t>
      </w:r>
    </w:p>
    <w:tbl>
      <w:tblPr>
        <w:tblW w:type="auto" w:w="0"/>
        <w:tblLook w:firstColumn="1" w:firstRow="1" w:lastColumn="0" w:lastRow="0" w:noHBand="0" w:noVBand="1" w:val="04A0"/>
      </w:tblPr>
      <w:tblGrid>
        <w:gridCol w:w="4320"/>
        <w:gridCol w:w="4320"/>
      </w:tblGrid>
      <w:tr>
        <w:tc>
          <w:tcPr>
            <w:tcW w:type="dxa" w:w="4320"/>
          </w:tcPr>
          <w:p>
            <w:r/>
          </w:p>
        </w:tc>
        <w:tc>
          <w:tcPr>
            <w:tcW w:type="dxa" w:w="4320"/>
          </w:tcPr>
          <w:p>
            <w:r/>
          </w:p>
        </w:tc>
      </w:tr>
      <w:tr>
        <w:tc>
          <w:tcPr>
            <w:tcW w:type="dxa" w:w="4320"/>
          </w:tcPr>
          <w:p>
            <w:r>
              <w:t>To:</w:t>
            </w:r>
          </w:p>
        </w:tc>
        <w:tc>
          <w:tcPr>
            <w:tcW w:type="dxa" w:w="4320"/>
          </w:tcPr>
          <w:p>
            <w:r>
              <w:t>File - Pellumbra / Ravenna Collaboration Agreement</w:t>
            </w:r>
          </w:p>
        </w:tc>
      </w:tr>
      <w:tr>
        <w:tc>
          <w:tcPr>
            <w:tcW w:type="dxa" w:w="4320"/>
          </w:tcPr>
          <w:p>
            <w:r>
              <w:t>From:</w:t>
            </w:r>
          </w:p>
        </w:tc>
        <w:tc>
          <w:tcPr>
            <w:tcW w:type="dxa" w:w="4320"/>
          </w:tcPr>
          <w:p>
            <w:r>
              <w:t>Oskar Ravndal, Associate, IP &amp; Technology</w:t>
            </w:r>
          </w:p>
        </w:tc>
      </w:tr>
      <w:tr>
        <w:tc>
          <w:tcPr>
            <w:tcW w:type="dxa" w:w="4320"/>
          </w:tcPr>
          <w:p>
            <w:r>
              <w:t>Re:</w:t>
            </w:r>
          </w:p>
        </w:tc>
        <w:tc>
          <w:tcPr>
            <w:tcW w:type="dxa" w:w="4320"/>
          </w:tcPr>
          <w:p>
            <w:r>
              <w:t>Cross-Border Clinical Data Transfer Assessment - Ravenna Collaboration</w:t>
            </w:r>
          </w:p>
        </w:tc>
      </w:tr>
      <w:tr>
        <w:tc>
          <w:tcPr>
            <w:tcW w:type="dxa" w:w="4320"/>
          </w:tcPr>
          <w:p>
            <w:r>
              <w:t>Date:</w:t>
            </w:r>
          </w:p>
        </w:tc>
        <w:tc>
          <w:tcPr>
            <w:tcW w:type="dxa" w:w="4320"/>
          </w:tcPr>
          <w:p>
            <w:r>
              <w:t>Current</w:t>
            </w:r>
          </w:p>
        </w:tc>
      </w:tr>
    </w:tbl>
    <w:p>
      <w:pPr>
        <w:pStyle w:val="Heading2"/>
      </w:pPr>
      <w:r>
        <w:t>1. Purpose</w:t>
      </w:r>
    </w:p>
    <w:p>
      <w:r>
        <w:t>This memorandum assesses the cross-border transfer restrictions applicable to clinical trial data shared between Pellumbra and Ravenna under the pending Collaboration Agreement (tkt-000007), and identifies the contractual provisions that must be added or revised to address those restrictions before execution. This assessment is a predicate to the disclosure schedule work under way for the Series C financing (tkt-000008), which references the Ravenna agreement as a material contract.</w:t>
      </w:r>
    </w:p>
    <w:p>
      <w:pPr>
        <w:pStyle w:val="Heading2"/>
      </w:pPr>
      <w:r>
        <w:t>2. What the Draft Agreement Currently Says</w:t>
      </w:r>
    </w:p>
    <w:p>
      <w:r>
        <w:t>Section 8.2 of the current Ravenna draft ("Data Handling") states in full: 'Each party shall process Clinical Data in accordance with applicable data protection laws and shall not transfer Clinical Data outside the country of collection without the prior written consent of the other party, such consent not to be unreasonably withheld.' The draft contains no defined term for 'applicable data protection laws,' no reference to the GDPR, no standard contractual clauses, and no mechanism for consent to be deemed granted or denied within a stated period.</w:t>
      </w:r>
    </w:p>
    <w:p>
      <w:r>
        <w:t>Section 8.3 ("Data Security") requires 'commercially reasonable technical and organizational measures' but does not incorporate an exhibit specifying those measures, and does not name a data protection officer or point of contact for either party.</w:t>
      </w:r>
    </w:p>
    <w:p>
      <w:pPr>
        <w:pStyle w:val="Heading2"/>
      </w:pPr>
      <w:r>
        <w:t>3. Facts Governing the Assessment</w:t>
      </w:r>
    </w:p>
    <w:p>
      <w:pPr>
        <w:pStyle w:val="ListNumber"/>
      </w:pPr>
      <w:r>
        <w:t>Clinical sites are located in the United States, Germany, and Poland; Ravenna's data processing facility is located in Ireland.</w:t>
      </w:r>
    </w:p>
    <w:p>
      <w:pPr>
        <w:pStyle w:val="ListNumber"/>
      </w:pPr>
      <w:r>
        <w:t>Data collected includes patient-level clinical trial records containing special category health data under GDPR Article 9.</w:t>
      </w:r>
    </w:p>
    <w:p>
      <w:pPr>
        <w:pStyle w:val="ListNumber"/>
      </w:pPr>
      <w:r>
        <w:t>Data flows from EU sites to Ravenna's Irish facility, and from there to Pellumbra's US-based analysis team - a transfer from the EU/EEA to a third country not subject to an adequacy decision.</w:t>
      </w:r>
    </w:p>
    <w:p>
      <w:pPr>
        <w:pStyle w:val="ListNumber"/>
      </w:pPr>
      <w:r>
        <w:t>No standard contractual clauses, binding corporate rules, or other Article 46 transfer mechanism currently appears anywhere in the draft or in any side letter.</w:t>
      </w:r>
    </w:p>
    <w:p>
      <w:pPr>
        <w:pStyle w:val="ListNumber"/>
      </w:pPr>
      <w:r>
        <w:t>The collaboration contemplates a term of five years with data retention continuing for a further ten years post-termination for regulatory archival purposes.</w:t>
      </w:r>
    </w:p>
    <w:p>
      <w:pPr>
        <w:pStyle w:val="Heading2"/>
      </w:pPr>
      <w:r>
        <w:t>4. Gaps Identified</w:t>
      </w:r>
    </w:p>
    <w:p>
      <w:pPr>
        <w:pStyle w:val="ListBullet"/>
      </w:pPr>
      <w:r>
        <w:t>No Article 46 transfer mechanism (SCCs or equivalent) is incorporated by reference or attached as an exhibit.</w:t>
      </w:r>
    </w:p>
    <w:p>
      <w:pPr>
        <w:pStyle w:val="ListBullet"/>
      </w:pPr>
      <w:r>
        <w:t>Section 8.2's consent-based transfer restriction does not satisfy GDPR requirements independently of a transfer mechanism; consent of a contracting counterparty is not a substitute for a lawful transfer basis under Chapter V.</w:t>
      </w:r>
    </w:p>
    <w:p>
      <w:pPr>
        <w:pStyle w:val="ListBullet"/>
      </w:pPr>
      <w:r>
        <w:t>No transfer impact assessment (TIA) obligation is imposed on either party notwithstanding the US transfer leg.</w:t>
      </w:r>
    </w:p>
    <w:p>
      <w:pPr>
        <w:pStyle w:val="ListBullet"/>
      </w:pPr>
      <w:r>
        <w:t>No data breach notification timeline is specified; Section 8.3 is silent on notice-to-the-other-party timing, which under GDPR Article 33 requires controller notification to supervisory authorities within 72 hours of the controller (here, Ravenna as EU processor's principal) becoming aware.</w:t>
      </w:r>
    </w:p>
    <w:p>
      <w:pPr>
        <w:pStyle w:val="ListBullet"/>
      </w:pPr>
      <w:r>
        <w:t>No provision addresses data subject access requests routed through Pellumbra where Ravenna is data controller.</w:t>
      </w:r>
    </w:p>
    <w:p>
      <w:pPr>
        <w:pStyle w:val="ListBullet"/>
      </w:pPr>
      <w:r>
        <w:t>No sub-processor flow-down clause covers Ravenna's Irish facility's own vendors.</w:t>
      </w:r>
    </w:p>
    <w:p>
      <w:pPr>
        <w:pStyle w:val="Heading2"/>
      </w:pPr>
      <w:r>
        <w:t>5. Recommended Revisions</w:t>
      </w:r>
    </w:p>
    <w:p>
      <w:pPr>
        <w:pStyle w:val="ListNumber"/>
      </w:pPr>
      <w:r>
        <w:t>Replace Section 8.2 with a transfer clause incorporating the EU Standard Contractual Clauses (2021 Module 2, controller-to-processor, as applicable) as Exhibit F, executed concurrently with the main agreement.</w:t>
      </w:r>
    </w:p>
    <w:p>
      <w:pPr>
        <w:pStyle w:val="ListNumber"/>
      </w:pPr>
      <w:r>
        <w:t>Add a defined term 'Personal Data' cross-referencing GDPR Article 4(1) and 'Special Category Data' cross-referencing Article 9(1), replacing the undefined term 'Clinical Data' for purposes of the data protection sections only.</w:t>
      </w:r>
    </w:p>
    <w:p>
      <w:pPr>
        <w:pStyle w:val="ListNumber"/>
      </w:pPr>
      <w:r>
        <w:t>Add an affirmative obligation on Ravenna to complete and share a transfer impact assessment prior to the first transfer of EU-origin data to the United States, with a covenant to suspend transfers if the TIA identifies unremediated risk.</w:t>
      </w:r>
    </w:p>
    <w:p>
      <w:pPr>
        <w:pStyle w:val="ListNumber"/>
      </w:pPr>
      <w:r>
        <w:t>Add a 72-hour breach notification clause running from Ravenna to Pellumbra, independent of and shorter than any regulator-facing deadline, to preserve Pellumbra's ability to make its own regulatory notifications on time.</w:t>
      </w:r>
    </w:p>
    <w:p>
      <w:pPr>
        <w:pStyle w:val="ListNumber"/>
      </w:pPr>
      <w:r>
        <w:t>Attach Exhibit G specifying the technical and organizational measures referenced in Section 8.3, naming a data protection contact for each party.</w:t>
      </w:r>
    </w:p>
    <w:p>
      <w:pPr>
        <w:pStyle w:val="ListNumber"/>
      </w:pPr>
      <w:r>
        <w:t>Add a sub-processor flow-down clause requiring Ravenna to bind any sub-processor to terms no less protective than Exhibit F.</w:t>
      </w:r>
    </w:p>
    <w:p>
      <w:pPr>
        <w:pStyle w:val="Heading2"/>
      </w:pPr>
      <w:r>
        <w:t>6. Interaction with the Series C Disclosure Schedule</w:t>
      </w:r>
    </w:p>
    <w:p>
      <w:r>
        <w:t>Until Section 8.2 is revised, the Ravenna agreement should be listed on the Series C disclosure schedule as a material contract with an identified compliance gap, rather than represented as compliant. I will flag this to the disclosure schedule team (tkt-000008) directly; this memorandum is the supporting record for that flag.</w:t>
      </w:r>
    </w:p>
    <w:p>
      <w:pPr>
        <w:pStyle w:val="Heading2"/>
      </w:pPr>
      <w:r>
        <w:t>7. Next Steps</w:t>
      </w:r>
    </w:p>
    <w:p>
      <w:pPr>
        <w:pStyle w:val="ListBullet"/>
      </w:pPr>
      <w:r>
        <w:t>Circulate proposed Section 8.2 redline and Exhibits F and G to Ravenna's counsel.</w:t>
      </w:r>
    </w:p>
    <w:p>
      <w:pPr>
        <w:pStyle w:val="ListBullet"/>
      </w:pPr>
      <w:r>
        <w:t>Reviewer assignment confirmed: Priyanka is reviewer, contingent on her Sandhurst basis confirmation clearing, with Klara as backup. Written confirmation of that clearance has been requested and remains outstanding as of this writing; sign-off on this assessment proceeds once received.</w:t>
      </w:r>
    </w:p>
    <w:p>
      <w:pPr>
        <w:pStyle w:val="ListBullet"/>
      </w:pPr>
      <w:r>
        <w:t>Update the Series C disclosure schedule entry once revised language is agreed.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