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t>To: Teodor Vasiliev; Elena Vasquez-Reyes</w:t>
      </w:r>
    </w:p>
    <w:p>
      <w:r>
        <w:t>From: Gideon Park</w:t>
      </w:r>
    </w:p>
    <w:p>
      <w:r>
        <w:t>Re: Gap in Series C Disclosure Schedule — Fairmont OEM License and Related IP Agreements</w:t>
      </w:r>
    </w:p>
    <w:p>
      <w:pPr>
        <w:pStyle w:val="Heading2"/>
      </w:pPr>
      <w:r>
        <w:t>1. The interesting problem here</w:t>
      </w:r>
    </w:p>
    <w:p>
      <w:r>
        <w:t>The Series C disclosure schedule as drafted omits the Fairmont OEM License, and I want to flag why that omission is not a clerical one before we simply add a line item. The Fairmont agreement contains a Section 2.4 exclusivity carve-out and a Section 2.3 field-of-use restriction that together narrow Pellumbra's freedom to license its core imaging-analysis stack to any party competing in orthopedic diagnostic hardware. I documented the mechanics of that carve-out in a memo to file after re-reading the license against the current product roadmap, and the short version is: the restriction is broader than the business team believes it to be, because Section 2.4's definition of "Competing Product" was drafted to track a product category, not a named competitor, and Pellumbra's newer surgical-planning module arguably falls inside that category even though nobody was thinking about surgical planning when the license was signed in 2022.</w:t>
      </w:r>
    </w:p>
    <w:p>
      <w:r>
        <w:t>That matters for the disclosure schedule because a purchaser's counsel reviewing IP representations will ask whether any material contract restricts the company's ability to exploit its own IP, and the honest answer is yes, in a way that could affect a revenue line the company is pointing to in its projections.</w:t>
      </w:r>
    </w:p>
    <w:p>
      <w:pPr>
        <w:pStyle w:val="Heading2"/>
      </w:pPr>
      <w:r>
        <w:t>2. What is missing from the schedule</w:t>
      </w:r>
    </w:p>
    <w:p>
      <w:pPr>
        <w:pStyle w:val="ListNumber"/>
      </w:pPr>
      <w:r>
        <w:t>The Fairmont OEM License itself (agreement date, term, and the exclusivity/field-of-use provisions in Sections 2.3 and 2.4).</w:t>
      </w:r>
    </w:p>
    <w:p>
      <w:pPr>
        <w:pStyle w:val="ListNumber"/>
      </w:pPr>
      <w:r>
        <w:t>Any amendments or side letters to the Fairmont License — I have asked Fairmont's counsel to confirm there are none, and am waiting on a response.</w:t>
      </w:r>
    </w:p>
    <w:p>
      <w:pPr>
        <w:pStyle w:val="ListNumber"/>
      </w:pPr>
      <w:r>
        <w:t>A disclosure of the interpretive question itself: even if we conclude the surgical-planning module is not currently a "Competing Product," the ambiguity is itself something a sophisticated buyer's counsel will want called out rather than discovered.</w:t>
      </w:r>
    </w:p>
    <w:p>
      <w:pPr>
        <w:pStyle w:val="Heading2"/>
      </w:pPr>
      <w:r>
        <w:t>3. Recommended path</w:t>
      </w:r>
    </w:p>
    <w:p>
      <w:r>
        <w:t>I recommend we add the Fairmont License to Schedule 3.12 (Intellectual Property) with a qualifying disclosure describing the field-of-use restriction in plain terms, rather than trying to resolve the interpretive question before signing. Resolving it definitively would require either a waiver from Fairmont or a formal non-infringement analysis, and I don't think we should hold the disclosure schedule hostage to either. Flagging it accurately now is defensible; omitting it and having it surface in buyer diligence is not.</w:t>
      </w:r>
    </w:p>
    <w:p>
      <w:r>
        <w:t>I am slow to want to characterize the scope of Section 2.4 more narrowly than its text supports, and once we do take a position on it in the disclosure language, I'd want us to hold that position consistently through the buyer's diligence Q&amp;A — so I'd like a short call before the schedule goes out to align on the language rather than have it drift across drafts.</w:t>
      </w:r>
    </w:p>
    <w:p>
      <w:pPr>
        <w:pStyle w:val="Heading2"/>
      </w:pPr>
      <w:r>
        <w:t>4. Open items</w:t>
      </w:r>
    </w:p>
    <w:p>
      <w:pPr>
        <w:pStyle w:val="ListBullet"/>
      </w:pPr>
      <w:r>
        <w:t>Confirm with Fairmont's counsel whether any amendments or side letters exist.</w:t>
      </w:r>
    </w:p>
    <w:p>
      <w:pPr>
        <w:pStyle w:val="ListBullet"/>
      </w:pPr>
      <w:r>
        <w:t>Decide disclosure language for Schedule 3.12 — I will draft a proposed paragraph by end of week.</w:t>
      </w:r>
    </w:p>
    <w:p>
      <w:pPr>
        <w:pStyle w:val="ListBullet"/>
      </w:pPr>
      <w:r>
        <w:t>Loop in the cross-border clinical data workstream if the surgical-planning module's data flows are relevant to how narrowly we can construe 'Competing Product' — the two issues may share a factual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