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tbl>
      <w:tblPr>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To</w:t>
            </w:r>
          </w:p>
        </w:tc>
        <w:tc>
          <w:tcPr>
            <w:tcW w:type="dxa" w:w="4320"/>
          </w:tcPr>
          <w:p>
            <w:r>
              <w:t>Series C Disclosure Schedule Working File</w:t>
            </w:r>
          </w:p>
        </w:tc>
      </w:tr>
      <w:tr>
        <w:tc>
          <w:tcPr>
            <w:tcW w:type="dxa" w:w="4320"/>
          </w:tcPr>
          <w:p>
            <w:r>
              <w:t>From</w:t>
            </w:r>
          </w:p>
        </w:tc>
        <w:tc>
          <w:tcPr>
            <w:tcW w:type="dxa" w:w="4320"/>
          </w:tcPr>
          <w:p>
            <w:r>
              <w:t>Elena Vasquez-Reyes, Partner, Corporate &amp; Securities</w:t>
            </w:r>
          </w:p>
        </w:tc>
      </w:tr>
      <w:tr>
        <w:tc>
          <w:tcPr>
            <w:tcW w:type="dxa" w:w="4320"/>
          </w:tcPr>
          <w:p>
            <w:r>
              <w:t>Re</w:t>
            </w:r>
          </w:p>
        </w:tc>
        <w:tc>
          <w:tcPr>
            <w:tcW w:type="dxa" w:w="4320"/>
          </w:tcPr>
          <w:p>
            <w:r>
              <w:t>Gap in Series C Disclosure Schedule — IP Ownership Split (Section 2.8 / Schedule 2.8)</w:t>
            </w:r>
          </w:p>
        </w:tc>
      </w:tr>
      <w:tr>
        <w:tc>
          <w:tcPr>
            <w:tcW w:type="dxa" w:w="4320"/>
          </w:tcPr>
          <w:p>
            <w:r>
              <w:t>Status</w:t>
            </w:r>
          </w:p>
        </w:tc>
        <w:tc>
          <w:tcPr>
            <w:tcW w:type="dxa" w:w="4320"/>
          </w:tcPr>
          <w:p>
            <w:r>
              <w:t>Open — outstanding third-party callback</w:t>
            </w:r>
          </w:p>
        </w:tc>
      </w:tr>
    </w:tbl>
    <w:p>
      <w:pPr>
        <w:pStyle w:val="Heading2"/>
      </w:pPr>
      <w:r>
        <w:t>1. Purpose</w:t>
      </w:r>
    </w:p>
    <w:p>
      <w:r>
        <w:t>This memorandum records the current state of the open item on Schedule 2.8 (Intellectual Property) to the Series C Stock Purchase Agreement disclosure schedules for Pellumbra, and reconciles the working draft schedule (doc-000049) against the representations in Section 2.8 of the Agreement. It is intended to close the loop raised in the exchange with Gideon Park and to give the team a single point of reference in place of the scattered chat threads from Samir Bhatt, Ingrid Solheim, Mira Chandrasekhar, Quentin Sarr, Dov Reinhardt, Bennett Ashworth, and Cecile Marchand.</w:t>
      </w:r>
    </w:p>
    <w:p>
      <w:pPr>
        <w:pStyle w:val="Heading2"/>
      </w:pPr>
      <w:r>
        <w:t>2. The Gap</w:t>
      </w:r>
    </w:p>
    <w:p>
      <w:r>
        <w:t>Section 2.8(a) requires the Company to disclose all IP that is jointly owned, co-developed, or otherwise subject to a split of ownership or license rights with a third party. The working draft schedule identifies one such arrangement — the assay-development collaboration referenced in prior diligence — but does not resolve whether the ownership split under that arrangement is (i) confirmed as-is, (ii) subject to renegotiation, or (iii) unresolved pending a change in staffing on the counterparty's side. Until this is resolved, Schedule 2.8 cannot be represented as complete under Section 2.8(a), and the Company's signature block on the disclosure schedules should not be treated as final.</w:t>
      </w:r>
    </w:p>
    <w:p>
      <w:pPr>
        <w:pStyle w:val="Heading2"/>
      </w:pPr>
      <w:r>
        <w:t>3. Status of Outstanding Confirmation</w:t>
      </w:r>
    </w:p>
    <w:p>
      <w:r>
        <w:t>As of this writing, no callback has been received from either Odell or the counterparty contact referenced by Samir Bhatt in his outreach to Quentin Sarr. Quentin has confirmed to Dov Reinhardt that the split is confirmed as to staffing on the collaboration but not as to the underlying IP ownership question that Schedule 2.8 must speak to. Ingrid Solheim and Mira Chandrasekhar each report the same absence of callback on their respective outreach lines. Samir Bhatt confirms the good-standing checklist item is otherwise unchanged and does not itself depend on this callback.</w:t>
      </w:r>
    </w:p>
    <w:p>
      <w:pPr>
        <w:pStyle w:val="ListBullet"/>
      </w:pPr>
      <w:r>
        <w:t>Staffing split: confirmed (per Quentin Sarr to Dov Reinhardt).</w:t>
      </w:r>
    </w:p>
    <w:p>
      <w:pPr>
        <w:pStyle w:val="ListBullet"/>
      </w:pPr>
      <w:r>
        <w:t>IP ownership split: not confirmed — awaiting callback from Odell or Wexler-side contact.</w:t>
      </w:r>
    </w:p>
    <w:p>
      <w:pPr>
        <w:pStyle w:val="ListBullet"/>
      </w:pPr>
      <w:r>
        <w:t>Good-standing checklist item: unaffected, tracking separately (per Samir Bhatt).</w:t>
      </w:r>
    </w:p>
    <w:p>
      <w:pPr>
        <w:pStyle w:val="Heading2"/>
      </w:pPr>
      <w:r>
        <w:t>4. Reconciliation Against Working Draft (doc-000049)</w:t>
      </w:r>
    </w:p>
    <w:p>
      <w:r>
        <w:t>The working draft schedule lists the collaboration arrangement under Schedule 2.8 with a placeholder note flagging the ownership-split question as open. That placeholder is consistent with the representations above and should not be resolved by assumption. Bennett Ashworth's flag — that this is 'not his thread to close' — is correct as to ownership: closing authority on the Section 2.8 representation rests with this office, not with the individual chasing the callback. Cecile Marchand's acknowledgment that she is picking up the flag is noted, and I will coordinate directly with her on next steps rather than leave the item to informal handoff.</w:t>
      </w:r>
    </w:p>
    <w:p>
      <w:pPr>
        <w:pStyle w:val="Heading2"/>
      </w:pPr>
      <w:r>
        <w:t>5. Rule Basis for Caution</w:t>
      </w:r>
    </w:p>
    <w:p>
      <w:r>
        <w:t>A disclosure schedule that omits a known, unresolved ownership question is not a curative silence — it is an inaccurate schedule. Under the representations in Section 2.8 and the bring-down obligation in Section 6.1 of the Agreement, the Company cannot certify Schedule 2.8 as complete while a material ownership split remains open. I would rather delay circulation of the execution version than sign off on a schedule I have not reconciled against the facts as they currently stand.</w:t>
      </w:r>
    </w:p>
    <w:p>
      <w:pPr>
        <w:pStyle w:val="Heading2"/>
      </w:pPr>
      <w:r>
        <w:t>6. Next Steps</w:t>
      </w:r>
    </w:p>
    <w:p>
      <w:pPr>
        <w:pStyle w:val="ListNumber"/>
      </w:pPr>
      <w:r>
        <w:t>Escalate the callback request beyond Odell/Wexler contact channels — consider a direct call from this office if no response within two business days.</w:t>
      </w:r>
    </w:p>
    <w:p>
      <w:pPr>
        <w:pStyle w:val="ListNumber"/>
      </w:pPr>
      <w:r>
        <w:t>Hold Schedule 2.8 in draft form; do not include in any execution set circulated to investor counsel until the ownership question is resolved.</w:t>
      </w:r>
    </w:p>
    <w:p>
      <w:pPr>
        <w:pStyle w:val="ListNumber"/>
      </w:pPr>
      <w:r>
        <w:t>Cecile Marchand to confirm ownership status directly with the counterparty's business lead and report back to this office.</w:t>
      </w:r>
    </w:p>
    <w:p>
      <w:pPr>
        <w:pStyle w:val="ListNumber"/>
      </w:pPr>
      <w:r>
        <w:t>Update Gideon Park on status in response to his email of today's date.</w:t>
      </w:r>
    </w:p>
    <w:p>
      <w:pPr>
        <w:pStyle w:val="ListNumber"/>
      </w:pPr>
      <w:r>
        <w:t>Revisit this memorandum once callback is received and update Schedule 2.8 accordingly.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