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Teodor Vasiliev</w:t>
      </w:r>
    </w:p>
    <w:p>
      <w:r>
        <w:t>From: Elena Vasquez-Reyes, Partner, Corporate &amp; Securities</w:t>
      </w:r>
    </w:p>
    <w:p>
      <w:r>
        <w:t>Re: Pellumbra Series C — Gap in Disclosure Schedule (Litigation and Regulatory Matters)</w:t>
      </w:r>
    </w:p>
    <w:p>
      <w:r>
        <w:t>This memorandum responds to the gap you flagged in the Series C disclosure schedule and sets out my analysis of what must be resolved before the schedule can be certified as complete.</w:t>
      </w:r>
    </w:p>
    <w:p>
      <w:pPr>
        <w:pStyle w:val="Heading2"/>
      </w:pPr>
      <w:r>
        <w:t>1. The Gap</w:t>
      </w:r>
    </w:p>
    <w:p>
      <w:r>
        <w:t>Section 3.10 of the draft Series C Purchase Agreement requires Pellumbra to schedule all pending or threatened litigation, arbitration, and regulatory proceedings involving the Company or its subsidiaries. The current draft schedule (Schedule 3.10) discloses only the Ravenna collaboration dispute, referencing the notice of dispute served under the Ravenna Collaboration Agreement, Section 14.2 (dispute resolution). It does not address two matters that, on the facts as I understand them, fall within the definition of "threatened proceeding" for purposes of Section 3.10(b):</w:t>
      </w:r>
    </w:p>
    <w:p>
      <w:pPr>
        <w:pStyle w:val="ListNumber"/>
      </w:pPr>
      <w:r>
        <w:t>The cross-border clinical data assessment, to the extent it has surfaced a substantive compliance exposure under applicable data-transfer rules (see Section 2 below); and</w:t>
      </w:r>
    </w:p>
    <w:p>
      <w:pPr>
        <w:pStyle w:val="ListNumber"/>
      </w:pPr>
      <w:r>
        <w:t>Any correspondence with a regulator concerning either the clinical data assessment or the underlying trial data, whether or not a formal proceeding has been opened.</w:t>
      </w:r>
    </w:p>
    <w:p>
      <w:r>
        <w:t>Rule 10b-5 exposure attaches at the point information is material and non-public, not at the point a claim is filed. A disclosure schedule that is accurate as of signing but silent on a known, material regulatory risk is not a technical omission — it is the kind of gap that surfaces in a Section 11 claim two years later. I would rather hold the schedule than sign a Section 3.10 certification I cannot support.</w:t>
      </w:r>
    </w:p>
    <w:p>
      <w:pPr>
        <w:pStyle w:val="Heading2"/>
      </w:pPr>
      <w:r>
        <w:t>2. What I Need to Close the Gap</w:t>
      </w:r>
    </w:p>
    <w:p>
      <w:r>
        <w:t>Before I can finalize Schedule 3.10, I need the following from the team handling the cross-border clinical data assessment (tkt-000009):</w:t>
      </w:r>
    </w:p>
    <w:p>
      <w:pPr>
        <w:pStyle w:val="ListBullet"/>
      </w:pPr>
      <w:r>
        <w:t>Current status of the assessment — whether any preliminary findings have been communicated informally to Pellumbra or its counsel;</w:t>
      </w:r>
    </w:p>
    <w:p>
      <w:pPr>
        <w:pStyle w:val="ListBullet"/>
      </w:pPr>
      <w:r>
        <w:t>Whether any regulator (domestic or foreign) has made an inquiry, formal or informal, relating to the cross-border transfer of clinical trial data;</w:t>
      </w:r>
    </w:p>
    <w:p>
      <w:pPr>
        <w:pStyle w:val="ListBullet"/>
      </w:pPr>
      <w:r>
        <w:t>Copies of any correspondence with the relevant data protection or health authority, however informal;</w:t>
      </w:r>
    </w:p>
    <w:p>
      <w:pPr>
        <w:pStyle w:val="ListBullet"/>
      </w:pPr>
      <w:r>
        <w:t>An assessment of whether the exposure, if any, is quantifiable or bounded, for purposes of a corresponding risk-factor disclosure if we conclude the item belongs in Schedule 3.10 rather than as a standalone representation qualifier.</w:t>
      </w:r>
    </w:p>
    <w:p>
      <w:pPr>
        <w:pStyle w:val="Heading2"/>
      </w:pPr>
      <w:r>
        <w:t>3. Ravenna — Related but Separate Issue</w:t>
      </w:r>
    </w:p>
    <w:p>
      <w:r>
        <w:t>Separately, Bennett Ashworth flagged that Dov's side on the Ravenna collaboration matter remains unresponsive ("still dark"), and Ulrich Bergmann confirmed the same — nothing live from that side as of this week. I am treating the existing Ravenna schedule entry as adequate as drafted, since the dispute is already disclosed. I flag it here only because if the counterparty's silence continues, we should discuss whether the schedule needs updated language describing the current procedural posture (i.e., notice served, no response received) rather than the original characterization of the dispute. I will raise this at the next Corporate deal status meeting rather than hold the Series C timeline on it.</w:t>
      </w:r>
    </w:p>
    <w:p>
      <w:pPr>
        <w:pStyle w:val="Heading2"/>
      </w:pPr>
      <w:r>
        <w:t>4. Proposed Path Forward</w:t>
      </w:r>
    </w:p>
    <w:p>
      <w:pPr>
        <w:pStyle w:val="ListNumber"/>
      </w:pPr>
      <w:r>
        <w:t>I will circulate a revised draft of Schedule 3.10 once I receive the items listed in Section 2, above, targeting within three business days of receipt;</w:t>
      </w:r>
    </w:p>
    <w:p>
      <w:pPr>
        <w:pStyle w:val="ListNumber"/>
      </w:pPr>
      <w:r>
        <w:t>If the clinical data assessment has not progressed far enough to characterize the exposure, we should add a general qualifier to Section 3.10 disclosing the pendency of the assessment itself, rather than omitting the subject entirely;</w:t>
      </w:r>
    </w:p>
    <w:p>
      <w:pPr>
        <w:pStyle w:val="ListNumber"/>
      </w:pPr>
      <w:r>
        <w:t>I will not recommend signing the disclosure schedule in its current form. This is not a drafting preference — it is a Section 3.10(b) completeness issue, and I want the record to reflect that the gap was identified and addressed before closing, not after.</w:t>
      </w:r>
    </w:p>
    <w:p>
      <w:r>
        <w:t>Please let me know if you have information responsive to Section 2 so we can move this forward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