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3.2 — Intellectual Property; Data Privacy</w:t>
      </w:r>
    </w:p>
    <w:p>
      <w:r>
        <w:t>The following is proposed disclosure schedule language for Section 3.2 of the Disclosure Schedules to the Series C Preferred Stock Purchase Agreement. It reflects Elena's separate-line-item, cross-referenced approach: the IP ownership split is disclosed as its own line item rather than folded into the existing collaboration agreement entry, and the clinical data privacy entry remains separate but is cross-referenced to, and reconciled against, the IP ownership item. This draft incorporates the completed Q2 (DPA term consistency across sites) and Q3 (data localization restrictions) findings from the clinical data jurisdictional assessment.</w:t>
      </w:r>
    </w:p>
    <w:p>
      <w:pPr>
        <w:pStyle w:val="Heading2"/>
      </w:pPr>
      <w:r>
        <w:t>New Line Item — IP Ownership Under the Collaboration Agreement</w:t>
      </w:r>
    </w:p>
    <w:p>
      <w:r>
        <w:t>Section 3.2(x). Ownership of Collaboration IP. The Company and [Collaboration Partner] are parties to that certain Collaboration Agreement, dated [date], as amended (the "Collaboration Agreement"), pursuant to which certain intellectual property arising from the parties' joint development activities ("Collaboration IP") is allocated between the Company and [Collaboration Partner] according to the field-of-use and inventorship provisions set forth in Sections [__] and [__] of the Collaboration Agreement. As of the date hereof, ownership and license rights with respect to Collaboration IP are held as follows: (i) the Company owns, or holds an exclusive license to, Collaboration IP arising from work conducted within the Company's designated field; and (ii) [Collaboration Partner] owns, or holds an exclusive license to, Collaboration IP arising from work conducted within [Collaboration Partner]'s designated field, subject to the Company's retained rights described in Section [__] of the Collaboration Agreement. This ownership allocation reflects the current, agreed operation of the Collaboration Agreement and does not constitute a pending negotiation or unresolved dispute between the parties.</w:t>
      </w:r>
    </w:p>
    <w:p>
      <w:r>
        <w:t>See also Section 3.2(y) below (Clinical Data; Data Privacy Compliance), which is cross-referenced to this item to the extent clinical data generated under the Collaboration Agreement is subject to the data use and privacy terms described therein.</w:t>
      </w:r>
    </w:p>
    <w:p>
      <w:pPr>
        <w:pStyle w:val="Heading2"/>
      </w:pPr>
      <w:r>
        <w:t>Existing Line Item, Cross-Referenced — Clinical Data; Data Privacy Compliance</w:t>
      </w:r>
    </w:p>
    <w:p>
      <w:r>
        <w:t>Section 3.2(y). Clinical Data; Data Privacy Compliance. In connection with clinical development activities conducted under the Collaboration Agreement (see Section 3.2(x) above), the Company and [Collaboration Partner] collect, process, and transfer clinical trial data across multiple sites and jurisdictions, including [list relevant jurisdictions]. The Company has reviewed the data protection agreements and related data-handling terms governing such activities and confirms the following:</w:t>
      </w:r>
    </w:p>
    <w:p>
      <w:pPr>
        <w:pStyle w:val="ListBullet"/>
      </w:pPr>
      <w:r>
        <w:t>Data localization: The Company's review did not identify any material data localization restriction that would impair the Company's or [Collaboration Partner]'s ability to collect, process, or transfer clinical trial data as currently conducted under the Collaboration Agreement.</w:t>
      </w:r>
    </w:p>
    <w:p>
      <w:pPr>
        <w:pStyle w:val="ListBullet"/>
      </w:pPr>
      <w:r>
        <w:t>DPA term consistency: The Company's review identified certain inconsistencies in data processing agreement ("DPA") terms across a subset of clinical trial sites, relating to [describe nature of inconsistency, e.g., data retention periods, sub-processor authorization language, or breach notification timelines]. These inconsistencies are administrative in nature, do not reflect a present breach of applicable data protection law or of the Collaboration Agreement, and are being addressed through remediation of the affected site-level DPAs, expected to be completed by [date].</w:t>
      </w:r>
    </w:p>
    <w:p>
      <w:pPr>
        <w:pStyle w:val="ListBullet"/>
      </w:pPr>
      <w:r>
        <w:t>The ownership allocation described in Section 3.2(x) above is consistent with the data use and processing rights described in the site-level DPAs reviewed, subject to completion of the remediation referenced above.</w:t>
      </w:r>
    </w:p>
    <w:p>
      <w:r>
        <w:t>The Company will supplement this Section 3.2(y) disclosure if the remediation described above identifies any material change to the data localization or DPA consistency findings summarized here.</w:t>
      </w:r>
    </w:p>
    <w:p>
      <w:pPr>
        <w:pStyle w:val="Heading2"/>
      </w:pPr>
      <w:r>
        <w:t>Drafting Notes (Internal — Remove Before Circulation to Investor Counsel)</w:t>
      </w:r>
    </w:p>
    <w:p>
      <w:pPr>
        <w:pStyle w:val="ListNumber"/>
      </w:pPr>
      <w:r>
        <w:t>Bracketed terms require confirmation from Teodor: Collaboration Agreement date, section cross-references, field-of-use definitions, and list of clinical trial jurisdictions.</w:t>
      </w:r>
    </w:p>
    <w:p>
      <w:pPr>
        <w:pStyle w:val="ListNumber"/>
      </w:pPr>
      <w:r>
        <w:t>The DPA remediation completion date in Section 3.2(y) should be confirmed with the clinical operations team before this schedule is finalized; do not commit to a date the team cannot meet.</w:t>
      </w:r>
    </w:p>
    <w:p>
      <w:pPr>
        <w:pStyle w:val="ListNumber"/>
      </w:pPr>
      <w:r>
        <w:t>This draft assumes no material localization issue, consistent with the completed Q1/Q3 findings (Q1: prior finding; Q3: data localization, now complete) in the clinical data jurisdictional assessment. If further review of underlying site agreements surfaces a localization issue, Section 3.2(y) will need revision before this schedule can be finalized.</w:t>
      </w:r>
    </w:p>
    <w:p>
      <w:pPr>
        <w:pStyle w:val="ListNumber"/>
      </w:pPr>
      <w:r>
        <w:t>Elena should confirm the cross-reference structure between Section 3.2(x) and 3.2(y) matches her intended drafting convention for the balance of the disclosure schedule, and confirm no separate exhibit is required.</w:t>
      </w:r>
    </w:p>
    <w:p>
      <w:pPr>
        <w:pStyle w:val="ListNumber"/>
      </w:pPr>
      <w:r>
        <w:t>Framing throughout is factual and descriptive of the current, operative allocation — deliberately avoiding language suggesting an open negotiation between the Company and [Collaboration Partner], per prior guidance to Teodor.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