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Remediation Memo: UK Post-Brexit Transfer Mechanism and Consent-Scope Gap</w:t>
      </w:r>
    </w:p>
    <w:p>
      <w:r>
        <w:t>To: Teodor. From: Gideon Park. Re: Closing the UK transfer-mechanism and consent-scope exposure identified in the jurisdictional data flow memo (doc-000202), before the Series C disclosure schedule goes out.</w:t>
      </w:r>
    </w:p>
    <w:p>
      <w:r>
        <w:t>This memo moves the item from 'flagged' to 'remediated.' The jurisdictional data flow memo confirmed that a documented cross-border transfer basis exists for the Pellumbra/Ravenna collaboration generally, but identified two related gaps specific to the UK leg of the data flow: (1) the transfer mechanism relied on for UK-to-non-UK transfers is not currently documented in a form that will survive disclosure-schedule scrutiny, and (2) the consent language collected from UK data subjects does not clearly scope to the actual downstream uses (including the joint-development carve-out under the collaboration agreement). Left as noted rather than closed, this is an accurate but incomplete answer to investor counsel on Thursday. The steps below close it.</w:t>
      </w:r>
    </w:p>
    <w:p>
      <w:pPr>
        <w:pStyle w:val="Heading2"/>
      </w:pPr>
      <w:r>
        <w:t>1. The UK Transfer Mechanism Gap</w:t>
      </w:r>
    </w:p>
    <w:p>
      <w:r>
        <w:t>Since the UK's departure from the EU, transfers of personal data from the UK to a receiving jurisdiction that has not received a UK adequacy determination require an approved transfer mechanism, most commonly the UK International Data Transfer Agreement (IDTA) or the UK Addendum to the EU Standard Contractual Clauses. The underlying data flow between the UK entity and Pellumbra's US processing environment is real and ongoing, and a transfer basis exists in substance — but the file does not currently contain an executed IDTA, addendum, or equivalent instrument naming the correct exporting and importing entities, describing the actual data categories in the collaboration, and dated consistently with when the transfers began.</w:t>
      </w:r>
    </w:p>
    <w:p>
      <w:r>
        <w:t>This is not a hypothetical exposure. If investor counsel asks 'what is the UK transfer mechanism,' the honest answer today is 'one should exist, we are confirming it does.' That answer does not belong on a disclosure schedule.</w:t>
      </w:r>
    </w:p>
    <w:p>
      <w:pPr>
        <w:pStyle w:val="Heading2"/>
      </w:pPr>
      <w:r>
        <w:t>2. The Consent-Scope Gap</w:t>
      </w:r>
    </w:p>
    <w:p>
      <w:r>
        <w:t>The UK data subject consent language on file was drafted for the original clinical collaboration use case and does not clearly extend to the joint-development carve-out that Ravenna and Pellumbra added later under the collaboration agreement. Consent that does not name or reasonably contemplate a downstream use does not cover that use, regardless of the underlying transfer mechanism. This compounds the mechanism gap: even a properly executed IDTA does not cure consent that is scoped too narrowly for what the data is now actually being used for.</w:t>
      </w:r>
    </w:p>
    <w:p>
      <w:pPr>
        <w:pStyle w:val="Heading2"/>
      </w:pPr>
      <w:r>
        <w:t>3. Remediation Steps — Owner and Deadline</w:t>
      </w:r>
    </w:p>
    <w:p>
      <w:pPr>
        <w:pStyle w:val="ListNumber"/>
      </w:pPr>
      <w:r>
        <w:t>Confirm the exporting entity (UK Ravenna entity) and importing entity (Pellumbra US) and pull the current data flow map from doc-000202 to identify every UK-to-US transfer point in scope. Owner: Gideon. Status: complete, per doc-000202.</w:t>
      </w:r>
    </w:p>
    <w:p>
      <w:pPr>
        <w:pStyle w:val="ListNumber"/>
      </w:pPr>
      <w:r>
        <w:t>Execute a UK Addendum to the EU SCCs (preferred over a fresh IDTA given the parties already have EU SCCs in place for the parallel EU leg, and the Addendum lets us incorporate by reference rather than draft a freestanding instrument). Owner: Gideon, drafting; Ravenna UK counsel, execution. Target: before disclosure schedule issuance.</w:t>
      </w:r>
    </w:p>
    <w:p>
      <w:pPr>
        <w:pStyle w:val="ListNumber"/>
      </w:pPr>
      <w:r>
        <w:t>Revise the UK consent form to expressly name the joint-development carve-out as a permitted downstream use, and re-issue to any data subjects whose consent predates the carve-out. Owner: Gideon to draft revised language; Ravenna privacy team to handle re-consent logistics. Target: language finalized before disclosure schedule issuance; re-consent rollout can trail issuance provided the schedule discloses the rollout as in progress rather than staying silent on it.</w:t>
      </w:r>
    </w:p>
    <w:p>
      <w:pPr>
        <w:pStyle w:val="ListNumber"/>
      </w:pPr>
      <w:r>
        <w:t>Cross-reference the remediated transfer mechanism and consent scope into the disclosure schedule entry for the collaboration agreement, consistent with the joint-development sub-line treatment already agreed with Teodor.</w:t>
      </w:r>
    </w:p>
    <w:p>
      <w:pPr>
        <w:pStyle w:val="ListNumber"/>
      </w:pPr>
      <w:r>
        <w:t>Confirm completion in writing (this memo, updated) before the schedule goes to investor counsel.</w:t>
      </w:r>
    </w:p>
    <w:p>
      <w:pPr>
        <w:pStyle w:val="Heading2"/>
      </w:pPr>
      <w:r>
        <w:t>4. Why 'Noted' Is Not Enough Here</w:t>
      </w:r>
    </w:p>
    <w:p>
      <w:r>
        <w:t>A disclosure schedule that flags this as an open item invites exactly the follow-up question investor counsel is positioned to ask well: name the mechanism, show the consent scope. A schedule that reflects a signed UK Addendum and revised consent language answers that question before it is asked. The gap is narrow and closeable on the current timeline — this is not a matter that needs its own contingent-liability line the way the ownership-split dispute does.</w:t>
      </w:r>
    </w:p>
    <w:p>
      <w:pPr>
        <w:pStyle w:val="Heading2"/>
      </w:pPr>
      <w:r>
        <w:t>5. Thursday</w:t>
      </w:r>
    </w:p>
    <w:p>
      <w:r>
        <w:t>I can cover the Addendum execution and consent-language sign-off on Thursday's 9:30 call alongside the ownership-split discussion, or handle it separately beforehand if Ravenna UK counsel can turn the Addendum around before then. My preference is to have the Addendum executed and consent language finalized ahead of the call, so Thursday is confirmation rather than negotiation. Let me know which track Ravenna UK counsel can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