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Trademark Opposition Strategy Notes — Pellumbra-Adjacent Marks</w:t>
      </w:r>
    </w:p>
    <w:p>
      <w:r>
        <w:t>Prepared by Klara Bendtsen. Status: prioritization confirmed with Yuki; these notes set out the reasoning and next steps for each opposition consistent with that agreement.</w:t>
      </w:r>
    </w:p>
    <w:p>
      <w:pPr>
        <w:pStyle w:val="Heading2"/>
      </w:pPr>
      <w:r>
        <w:t>1. Background</w:t>
      </w:r>
    </w:p>
    <w:p>
      <w:r>
        <w:t>Two pending oppositions against Pellumbra-adjacent marks were triaged in the memo sent to Yuki. Yuki has since agreed on prioritization: contest Opposition A, allow Opposition B to lapse or resolve on favorable terms without material further spend. These notes carry that decision forward into an actionable plan.</w:t>
      </w:r>
    </w:p>
    <w:p>
      <w:pPr>
        <w:pStyle w:val="Heading2"/>
      </w:pPr>
      <w:r>
        <w:t>2. Opposition A — Contest</w:t>
      </w:r>
    </w:p>
    <w:p>
      <w:r>
        <w:t>This is the materially more serious filing. The opposed mark sits close enough to core Pellumbra branding that a loss risks real dilution of the senior mark's distinctiveness in the relevant class, and the opposer has shown some willingness to litigate rather than settle cheaply.</w:t>
      </w:r>
    </w:p>
    <w:p>
      <w:pPr>
        <w:pStyle w:val="ListBullet"/>
      </w:pPr>
      <w:r>
        <w:t>Priority use and evidence of continuous commercial use of the senior mark should be assembled first — this is the strongest ground and the cheapest to develop.</w:t>
      </w:r>
    </w:p>
    <w:p>
      <w:pPr>
        <w:pStyle w:val="ListBullet"/>
      </w:pPr>
      <w:r>
        <w:t>Likelihood-of-confusion argument to lead on channels of trade and class overlap, not on mark similarity alone; similarity is arguable and we should not rest the case on it.</w:t>
      </w:r>
    </w:p>
    <w:p>
      <w:pPr>
        <w:pStyle w:val="ListBullet"/>
      </w:pPr>
      <w:r>
        <w:t>careful here — if the opposer amends to narrow their goods/services description mid-proceeding, our confusion argument weakens; watch the docket for that move and be ready to adjust.</w:t>
      </w:r>
    </w:p>
    <w:p>
      <w:pPr>
        <w:pStyle w:val="ListBullet"/>
      </w:pPr>
      <w:r>
        <w:t>Budget for this one assumes we go the distance: response, discovery if the board allows it, and briefing. Treat settlement overtures from the other side as a bonus, not the plan.</w:t>
      </w:r>
    </w:p>
    <w:p>
      <w:pPr>
        <w:pStyle w:val="Heading2"/>
      </w:pPr>
      <w:r>
        <w:t>3. Opposition B — Let it go</w:t>
      </w:r>
    </w:p>
    <w:p>
      <w:r>
        <w:t>This is the weaker, nuisance-grade filing. The opposed mark is in an adjacent but distinguishable class, the opposer's own registration is thin, and continued spend here has poor odds of a return proportionate to cost.</w:t>
      </w:r>
    </w:p>
    <w:p>
      <w:pPr>
        <w:pStyle w:val="ListBullet"/>
      </w:pPr>
      <w:r>
        <w:t>Do not file a substantive response beyond what is needed to preserve optionality through the current deadline.</w:t>
      </w:r>
    </w:p>
    <w:p>
      <w:pPr>
        <w:pStyle w:val="ListBullet"/>
      </w:pPr>
      <w:r>
        <w:t>If the opposer proposes a consent-to-register or narrowing amendment, take it — do not hold out for better terms on a mark this low-value.</w:t>
      </w:r>
    </w:p>
    <w:p>
      <w:pPr>
        <w:pStyle w:val="ListBullet"/>
      </w:pPr>
      <w:r>
        <w:t>If no resolution is offered, allow the opposition to proceed to default rather than commit further hours; the cost of losing this one is low.</w:t>
      </w:r>
    </w:p>
    <w:p>
      <w:pPr>
        <w:pStyle w:val="Heading2"/>
      </w:pPr>
      <w:r>
        <w:t>4. Sequencing and ownership</w:t>
      </w:r>
    </w:p>
    <w:p>
      <w:pPr>
        <w:pStyle w:val="ListNumber"/>
      </w:pPr>
      <w:r>
        <w:t>Begin evidence-gathering for Opposition A this week — priority-of-use documentation and channel-of-trade materials.</w:t>
      </w:r>
    </w:p>
    <w:p>
      <w:pPr>
        <w:pStyle w:val="ListNumber"/>
      </w:pPr>
      <w:r>
        <w:t>Confirm with docketing that Opposition B deadlines are flagged for minimal-response handling, not full briefing, to avoid default spend by mistake.</w:t>
      </w:r>
    </w:p>
    <w:p>
      <w:pPr>
        <w:pStyle w:val="ListNumber"/>
      </w:pPr>
      <w:r>
        <w:t>Revisit both matters if either opposer amends their filing; re-triage only if the amendment changes the underlying risk calculus, not as a matter of course.</w:t>
      </w:r>
    </w:p>
    <w:p>
      <w:pPr>
        <w:pStyle w:val="Heading2"/>
      </w:pPr>
      <w:r>
        <w:t>5. Open items</w:t>
      </w:r>
    </w:p>
    <w:p>
      <w:r>
        <w:t>None outstanding on prioritization — Yuki has confirmed. Next checkpoint is on receipt of Opposition A's response deadline or any amendment filed in either matter, whichever comes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