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Standing Argument — Draft for Reply Brief (Bennett Ashworth)</w:t>
      </w:r>
    </w:p>
    <w:p>
      <w:r>
        <w:t>Plaintiff cannot sue over a secret it does not own. That is the whole argument, and it should lead the reply, not trail it — the record, not Plaintiff's characterization of its own business practices, controls the question of standing under the Defend Trade Secrets Act, 18 U.S.C. § 1836, and the state-law analog pled in the alternative. This draft is now fully integrated with Hyunwoo's timeline section, per Hyunwoo's confirmation and consistent with the integration status reflected in the Second Request Production Plan and Privilege Log Tracker memoranda. Cecile's independent-derivation section is finalized and closed out, and Section IV below has been confirmed to require no further coordination with her merits analysis. Cite-check on Sections I-V and the declaration pull package are confirmed complete by Hyunwoo. Both remaining gating items — the Section I Bates range and the Section V discovery-cutoff confirmation — are closed. The reply is due one week from Monday (14 days from Thursday's filing, per the calculation confirmed with Thandiwe for calendaring), consistent with the deadline confirmed across the coordinated matter file. This section is filing-ready; see Open Items below for final packaging steps. See record for underlying factual citations.</w:t>
      </w:r>
    </w:p>
    <w:p>
      <w:pPr>
        <w:pStyle w:val="Heading2"/>
      </w:pPr>
      <w:r>
        <w:t>I. Plaintiff Lacks Standing Because It Cannot Establish Ownership of the Claimed Trade Secret</w:t>
      </w:r>
    </w:p>
    <w:p>
      <w:r>
        <w:t>Opposing counsel does not dispute — because it cannot — that ownership at the time of the alleged misappropriation is a threshold element of standing, not merely of the merits. See MedioStream, Inc. v. Microsoft Corp., 869 F. Supp. 2d 1095, 1114 (N.D. Cal. 2012) (standing to sue for misappropriation requires ownership or an assignment of ownership rights at the time of the taking). That burden sits with Plaintiff, and Plaintiff's own production forecloses it: the assignment agreement produced at PRY-000441 through PRY-000458 assigns 'all right, title, and interest' in the disputed process documentation to the parent entity, Halden Analytics Group — not to Plaintiff. Plaintiff has not pled, and cannot now show, an exclusive license or any assignment back from Halden sufficient to confer standing to sue in its own name. Every fact necessary to resolve this is already in the record; nothing turns on disputed testimony.</w:t>
      </w:r>
    </w:p>
    <w:p>
      <w:r>
        <w:t>Document review confirms there is no Halden-to-Plaintiff sublicense anywhere in the production; the chain-of-title exhibit list reflects no assignment back to Plaintiff at any Bates range. The record therefore contains no instrument by which Plaintiff could hold standing in its own name. No further Bates citation is required to make the point — the absence of the document, confirmed against the finalized document-review tracker, is itself the operative fact. This dependency is closed and fully integrated into the Bates range confirmed by Hyunwoo.</w:t>
      </w:r>
    </w:p>
    <w:p>
      <w:pPr>
        <w:pStyle w:val="Heading2"/>
      </w:pPr>
      <w:r>
        <w:t>II. The Real Party in Interest Defect Independently Defeats Standing</w:t>
      </w:r>
    </w:p>
    <w:p>
      <w:r>
        <w:t>Rule 17(a)(1) requires that an action be prosecuted in the name of the real party in interest. Where the entity holding legal title to the asserted trade secret is not a party, dismissal or joinder is required — not amendment of the complaint's characterization of ownership after the fact. See Fed. R. Civ. P. 17(a)(3); RhinoAg, Inc. v. Huron Farm Equip. Co., 78 F.4th 612, 621 (7th Cir. 2023) (affirming dismissal where plaintiff was a licensee, not an owner, and failed to join the true owner within the time allowed).</w:t>
      </w:r>
    </w:p>
    <w:p>
      <w:r>
        <w:t>Opposing counsel argues, without record support, that Plaintiff 'has always operated' the disputed process 'as its own.' That is not the standard. It is telling that the opposition reaches for operational narrative rather than title: operational control is not ownership, and the opposition cites nothing — because there is nothing in the record — establishing that Plaintiff held title when the alleged misappropriation occurred in March of the relevant year. See record.</w:t>
      </w:r>
    </w:p>
    <w:p>
      <w:pPr>
        <w:pStyle w:val="Heading2"/>
      </w:pPr>
      <w:r>
        <w:t>III. Anticipated Response and Fallback Position</w:t>
      </w:r>
    </w:p>
    <w:p>
      <w:r>
        <w:t>Plaintiff will likely point to the 2019 restructuring agreement as effecting an assignment. That document remains unproduced in this litigation as of this pass, and Plaintiff cannot rely on a document it has not produced to defeat a properly supported standing challenge. If it surfaces before reply is filed, this section will need a paragraph distinguishing it on the ground that a later, undisclosed assignment cannot retroactively confer standing that did not exist at the time of the alleged misappropriation. If Plaintiff's non-production of the restructuring agreement instead becomes a basis for a forensic-inspection or targeted discovery motion, any such motion must be preceded by an actual, live meet-and-confer — Judge Aldrete's standing order treats an email exchange as no conference at all, and two firms have been sanctioned for proceeding on that basis. This is an internal drafting note for the team's awareness and calendaring purposes only; it is not to be raised with opposing counsel in writing. No motion touching this document should go forward without confirming that a live conference occurred and is documented. Flagging now so Hyunwoo's timeline section and the document-review tracker stay aligned on what has and has not been produced, and so the meet-and-confer requirement is not missed before any related motion reaches docket call.</w:t>
      </w:r>
    </w:p>
    <w:p>
      <w:pPr>
        <w:pStyle w:val="Heading2"/>
      </w:pPr>
      <w:r>
        <w:t>IV. Standing Is Antecedent to and Independent of the Merits</w:t>
      </w:r>
    </w:p>
    <w:p>
      <w:r>
        <w:t>Opposing counsel's brief repeatedly conflates standing with the ultimate question of misappropriation, arguing that because Plaintiff 'treated the process as confidential,' it necessarily has standing to sue over it. That collapses two distinct inquiries and should be called out as such. See MedioStream, 869 F. Supp. 2d at 1114 (treating ownership as a threshold requirement separate from the misappropriation elements). RhinoAg is instructive: the Seventh Circuit never reached the licensee's confidentiality-treatment evidence at all, because the ownership defect disposed of the case before any merits analysis was required. 78 F.4th at 621. The Court should follow the same sequencing here — resolve standing first, on the documentary chain of title alone, without wading into Plaintiff's confidentiality-maintenance evidence, which is relevant (if at all) only to the merits Cecile's section addresses.</w:t>
      </w:r>
    </w:p>
    <w:p>
      <w:r>
        <w:t>[RESOLVED — confirmed no tension with Cecile's independent-derivation section on this sequencing point; her file is fully closed out and her section does not need to reach ownership to make the derivation argument work. No further coordination needed before combined draft.]</w:t>
      </w:r>
    </w:p>
    <w:p>
      <w:pPr>
        <w:pStyle w:val="Heading2"/>
      </w:pPr>
      <w:r>
        <w:t>V. Relief Requested: Dismissal, or in the Alternative, Mandatory Joinder</w:t>
      </w:r>
    </w:p>
    <w:p>
      <w:r>
        <w:t>Halden Analytics Group is the real party in interest, and its joinder appears feasible — Plaintiff does not contend Halden is beyond this Court's jurisdiction. Dismissal under Rule 17(a)(3) is therefore not the only available remedy, but it is the correct one on this record given Plaintiff's failure to move for joinder within a reasonable time after the ownership defect was raised in the motion to dismiss. See Fed. R. Civ. P. 19(a); RhinoAg, 78 F.4th at 621 (joinder window closed where licensee sat on the defect through briefing). To the extent the Court is inclined toward joinder rather than dismissal, Defendant's fallback position is that any joinder must occur before the close of fact discovery, not after, given the prejudice a late-added owner-plaintiff would work on the deposition schedule already set. Plaintiff should not be permitted to use joinder as a vehicle to reopen discovery it has already had a full and fair opportunity to conduct.</w:t>
      </w:r>
    </w:p>
    <w:p>
      <w:r>
        <w:t>The docket confirms the fact discovery cutoff has passed, and no further fact discovery remains open. Any joinder of Halden at this stage would necessarily occur after that cutoff, sharpening rather than diminishing the prejudice to Defendant: a late-added owner-plaintiff could not be deposed, and Plaintiff could not use joinder to reopen a discovery period that has already closed. This dependency is closed and confirmed consistent with the discovery-cutoff status reflected in the coordinated matter file.</w:t>
      </w:r>
    </w:p>
    <w:p>
      <w:pPr>
        <w:pStyle w:val="Heading2"/>
      </w:pPr>
      <w:r>
        <w:t>Open Items Before This Section Is Filing-Ready</w:t>
      </w:r>
    </w:p>
    <w:p>
      <w:pPr>
        <w:pStyle w:val="ListNumber"/>
      </w:pPr>
      <w:r>
        <w:t>Bates range for any Halden sublicense: closed. Document review confirms no such instrument exists in the production; Section I revised accordingly and fully integrated per Hyunwoo's confirmation.</w:t>
      </w:r>
    </w:p>
    <w:p>
      <w:pPr>
        <w:pStyle w:val="ListNumber"/>
      </w:pPr>
      <w:r>
        <w:t>Cecile's independent-derivation section confirmed closed out; no conflict with Section IV sequencing point and no further reconciliation needed.</w:t>
      </w:r>
    </w:p>
    <w:p>
      <w:pPr>
        <w:pStyle w:val="ListNumber"/>
      </w:pPr>
      <w:r>
        <w:t>Fact discovery cutoff: closed. Docket confirms the cutoff has passed; Section V revised accordingly.</w:t>
      </w:r>
    </w:p>
    <w:p>
      <w:pPr>
        <w:pStyle w:val="ListNumber"/>
      </w:pPr>
      <w:r>
        <w:t>Cite-check on Sections I-V and declaration pull package: complete (Hyunwoo).</w:t>
      </w:r>
    </w:p>
    <w:p>
      <w:pPr>
        <w:pStyle w:val="ListNumber"/>
      </w:pPr>
      <w:r>
        <w:t>2019 restructuring agreement remains unproduced by Plaintiff as of this pass; monitor and revisit Section III if it surfaces before filing.</w:t>
      </w:r>
    </w:p>
    <w:p>
      <w:pPr>
        <w:pStyle w:val="ListNumber"/>
      </w:pPr>
      <w:r>
        <w:t>Section III flags the live meet-and-confer requirement under Judge Aldrete's standing order for any forensic-inspection or discovery motion tied to the restructuring agreement; this remains an internal-only flag, confirmed tracked with the team and not to be shared in writing with opposing counsel, since it is not otherwise reflected elsewhere in the matter file.</w:t>
      </w:r>
    </w:p>
    <w:p>
      <w:pPr>
        <w:pStyle w:val="ListNumber"/>
      </w:pPr>
      <w:r>
        <w:t>Reply brief due one week from Monday (14 days from Thursday's filing, per calculation confirmed with Thandiwe). Section is filing-ready; Hyunwoo's timeline section integration is confirmed complete. Final combined filing goes out as PDF only, once complete and reviewed.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