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Supervising Partner</w:t>
            </w:r>
          </w:p>
        </w:tc>
      </w:tr>
      <w:tr>
        <w:tc>
          <w:tcPr>
            <w:tcW w:type="dxa" w:w="4320"/>
          </w:tcPr>
          <w:p>
            <w:r>
              <w:t>From:</w:t>
            </w:r>
          </w:p>
        </w:tc>
        <w:tc>
          <w:tcPr>
            <w:tcW w:type="dxa" w:w="4320"/>
          </w:tcPr>
          <w:p>
            <w:r>
              <w:t>Lucien Abara</w:t>
            </w:r>
          </w:p>
        </w:tc>
      </w:tr>
      <w:tr>
        <w:tc>
          <w:tcPr>
            <w:tcW w:type="dxa" w:w="4320"/>
          </w:tcPr>
          <w:p>
            <w:r>
              <w:t>Re:</w:t>
            </w:r>
          </w:p>
        </w:tc>
        <w:tc>
          <w:tcPr>
            <w:tcW w:type="dxa" w:w="4320"/>
          </w:tcPr>
          <w:p>
            <w:r>
              <w:t>Pryor Matter — Reply Brief in Support of Dispositive Motion</w:t>
            </w:r>
          </w:p>
        </w:tc>
      </w:tr>
      <w:tr>
        <w:tc>
          <w:tcPr>
            <w:tcW w:type="dxa" w:w="4320"/>
          </w:tcPr>
          <w:p>
            <w:r>
              <w:t>Status:</w:t>
            </w:r>
          </w:p>
        </w:tc>
        <w:tc>
          <w:tcPr>
            <w:tcW w:type="dxa" w:w="4320"/>
          </w:tcPr>
          <w:p>
            <w:r>
              <w:t>Draft — Thirteenth Work Session</w:t>
            </w:r>
          </w:p>
        </w:tc>
      </w:tr>
    </w:tbl>
    <w:p>
      <w:pPr>
        <w:pStyle w:val="Heading2"/>
      </w:pPr>
      <w:r>
        <w:t>I. Question Presented</w:t>
      </w:r>
    </w:p>
    <w:p>
      <w:r>
        <w:t>Whether the record, properly construed under the applicable standard of review, supports entry of judgment in our client's favor as a matter of law, and whether the record as corrected (per the Exhibit 17 resolution addressed below) forecloses any genuine dispute of material fact sufficient to defeat the motion.</w:t>
      </w:r>
    </w:p>
    <w:p>
      <w:pPr>
        <w:pStyle w:val="Heading2"/>
      </w:pPr>
      <w:r>
        <w:t>II. Brief Answer</w:t>
      </w:r>
    </w:p>
    <w:p>
      <w:r>
        <w:t>The better view is that the motion should be granted. The standard-of-review analysis, now substantially complete, confirms that the deferential posture urged by opposing counsel does not apply to the dispositive question at issue. The factual record, once corrected to reflect the January 16 report as the operative source document in place of the erroneous Exhibit 17 citation, supports our position without material contradiction.</w:t>
      </w:r>
    </w:p>
    <w:p>
      <w:pPr>
        <w:pStyle w:val="Heading2"/>
      </w:pPr>
      <w:r>
        <w:t>III. Procedural Posture</w:t>
      </w:r>
    </w:p>
    <w:p>
      <w:r>
        <w:t>The motion is fully briefed on the moving papers and opposition. This memorandum supports drafting of the reply brief, due within 14 days of the date of this draft. No extension has been sought or is contemplated at this time.</w:t>
      </w:r>
    </w:p>
    <w:p>
      <w:pPr>
        <w:pStyle w:val="Heading2"/>
      </w:pPr>
      <w:r>
        <w:t>IV. Standard of Review</w:t>
      </w:r>
    </w:p>
    <w:p>
      <w:r>
        <w:t>Drafting of this section is complete pending a final internal read. The analysis concludes that the standard governing the dispositive motion is de novo as to the legal questions presented and does not extend the deference opposing counsel has argued for on the underlying factual findings. Supporting authority has been assembled and cite-checked; no gaps remain. On further reflection during this session, the better view is that the de novo standard is reinforced by the fact that the underlying factual findings opposing counsel seeks deference on are themselves derivative of the corrected Statement of Facts below, further undercutting any argument for a more deferential posture.</w:t>
      </w:r>
    </w:p>
    <w:p>
      <w:pPr>
        <w:pStyle w:val="Heading2"/>
      </w:pPr>
      <w:r>
        <w:t>V. Statement of Facts</w:t>
      </w:r>
    </w:p>
    <w:p>
      <w:r>
        <w:t>The factual recitation is fully drafted. It reflects the corrected treatment of the January 16 report as the source document supporting the relevant factual assertion, superseding the earlier citation to Exhibit 17, which the team has confirmed was erroneous. The only remaining item is Cecile's written confirmation of this correction for the file; the substance of the correction itself is settled and is not expected to change. This session's review confirms the corrected citation is applied consistently throughout the recitation, with no residual references to Exhibit 17 remaining in the current draft text.</w:t>
      </w:r>
    </w:p>
    <w:p>
      <w:pPr>
        <w:pStyle w:val="Heading2"/>
      </w:pPr>
      <w:r>
        <w:t>V-A. Reply Argument — Statute of Limitations / Discovery Rule (Section II)</w:t>
      </w:r>
    </w:p>
    <w:p>
      <w:r>
        <w:t>Drafting of the reply brief's substantive argument on the statute of limitations and discovery rule is proceeding as a separate work product (Section II draft). The placeholder-text issue previously flagged in that draft was isolated to the cite-check and declaration-pull workbook; Thandiwe has now confirmed that issue resolved, and no open issue remains in the argument text on that point. The Section II draft has since been advanced further: it now includes a reasoned analysis of the candidate limitations periods and their implications for the March 2021 accrual date, narrowing the [Statute]/[X]-year bracket to a single outstanding confirmation rather than an untouched placeholder. That final confirmation of the governing limitations period remains outstanding and is tracked separately below. Subsection C of that draft and its accompanying drafting note have been reconciled to state this distinction clearly, without altering the underlying discovery-rule analysis or record application. During the prior session, further work was done to tighten the accrual-date reasoning, laying out the competing interpretations of when the discovery rule was triggered relative to the March 2021 date, so that once the governing limitations period is confirmed, the bracketed language can be resolved with minimal additional drafting. During the following session, that analysis was advanced further: the competing accrual theories were sharpened into two distinct positions — inquiry notice arising from the January 16 report itself, versus a later accrual tied to the confirmation of causation reflected in Cecile's forthcoming correction — with the reasoning setting out why the corrected factual record favors the earlier inquiry-notice date under either candidate limitations period. The following session refined that distinction further: the inquiry-notice theory is now grounded specifically in the January 16 report's own findings, which independently placed a reasonable party on notice of the potential claim irrespective of any later causation confirmation, while the causation-based accrual theory is treated as the fallback position should the tribunal decline to find inquiry notice on the report alone. The analysis explains why the inquiry-notice theory should be presented as the lead position — because it does not depend on the timing or content of Cecile's still-outstanding confirmation — while preserving the causation-based theory as an alternative ground that remains available, and equally favorable to our position, under either candidate limitations period. A subsequent session advanced that analysis further by addressing how the inquiry-notice theory interacts with tolling arguments opposing counsel may be expected to raise: the reasoning explains that even if opposing counsel invokes equitable tolling premised on the timing of causation confirmation, that argument does not disturb the inquiry-notice date, since inquiry notice is keyed to the January 16 report's own findings and not to any subsequent confirmatory event. The draft accordingly sets out why tolling arguments tied to later-arising confirmation are better addressed as a response to the causation-based fallback theory rather than as a challenge to the lead inquiry-notice position, preserving the structural separation between the two theories. That session also clarified the sequencing for presenting both theories in the reply: the inquiry-notice theory is to be presented first and independently, with the causation-based theory introduced afterward and expressly framed as an alternative ground that need not be reached if inquiry notice is found, rather than as a cumulative or dependent argument. The accrual-date reasoning is now considered substantively complete pending the governing limitations period confirmation addressed below; no further drafting on that reasoning is anticipated ahead of that confirmation.</w:t>
      </w:r>
    </w:p>
    <w:p>
      <w:pPr>
        <w:pStyle w:val="Heading2"/>
      </w:pPr>
      <w:r>
        <w:t>V-B. Governing Limitations Period — Resolving the [Statute]/[X]-Year Bracket</w:t>
      </w:r>
    </w:p>
    <w:p>
      <w:r>
        <w:t>With the accrual-date reasoning in Section V-A substantively settled, this session turns to the remaining substantive confirmation needed to close the Section II draft: fixing the specific governing limitations period so the bracketed [Statute]/[X]-year language can be resolved. Because the accrual analysis was deliberately structured to hold under either candidate period, resolving the bracket is a citation-level task rather than a substantive one — it does not require revisiting the inquiry-notice or causation-based reasoning, only identifying which statute and corresponding period apply so the reply cites the correct provision and duration. This session's work on that task consists of confirming what is needed to close the item: (1) identification of the specific statutory provision governing the claim at issue, (2) confirmation of the applicable limitations period under that provision, and (3) a check that the March 2021 accrual date, under the inquiry-notice theory as lead position, falls within that period with room to spare, consistent with the analysis already drafted. No conflicting authority has surfaced in the research assembled to date that would suggest the claim falls under a different statute than currently assumed in the bracketed draft; the remaining task is formal confirmation rather than resolution of a live dispute. This item is tracked as the sole outstanding substantive confirmation for the Section II draft, distinct from the cite-check workbook placeholder issue Thandiwe has already resolved, and distinct from Cecile's pending written confirmation on the Exhibit 17 correction.</w:t>
      </w:r>
    </w:p>
    <w:p>
      <w:pPr>
        <w:pStyle w:val="Heading2"/>
      </w:pPr>
      <w:r>
        <w:t>VI. Open Items</w:t>
      </w:r>
    </w:p>
    <w:p>
      <w:pPr>
        <w:pStyle w:val="ListNumber"/>
      </w:pPr>
      <w:r>
        <w:t>Cecile's written confirmation of the January 16 report correction (Ex. 17 resolution) — narrow, outstanding, expected imminently.</w:t>
      </w:r>
    </w:p>
    <w:p>
      <w:pPr>
        <w:pStyle w:val="ListNumber"/>
      </w:pPr>
      <w:r>
        <w:t>Thandiwe's calendaring confirmation for the reply brief filing deadline and related docket entries — outstanding; no other dependencies remain.</w:t>
      </w:r>
    </w:p>
    <w:p>
      <w:pPr>
        <w:pStyle w:val="ListNumber"/>
      </w:pPr>
      <w:r>
        <w:t>Final confirmation of the governing limitations period to close the [Statute]/[X]-year bracketing in the Section II draft — now the active focus item (see Section V-B); confirmation of the specific statutory provision and applicable period remains outstanding, though the accrual-date analysis underlying it is substantively complete.</w:t>
      </w:r>
    </w:p>
    <w:p>
      <w:pPr>
        <w:pStyle w:val="Heading2"/>
      </w:pPr>
      <w:r>
        <w:t>VII. Next Steps</w:t>
      </w:r>
    </w:p>
    <w:p>
      <w:pPr>
        <w:pStyle w:val="ListNumber"/>
      </w:pPr>
      <w:r>
        <w:t>Assemble the full draft outline (Sections I–VI above) for routing to the supervising partner.</w:t>
      </w:r>
    </w:p>
    <w:p>
      <w:pPr>
        <w:pStyle w:val="ListNumber"/>
      </w:pPr>
      <w:r>
        <w:t>Incorporate Cecile's written confirmation into Section V upon receipt.</w:t>
      </w:r>
    </w:p>
    <w:p>
      <w:pPr>
        <w:pStyle w:val="ListNumber"/>
      </w:pPr>
      <w:r>
        <w:t>Confirm filing calendar with Thandiwe and reconcile against the 14-day deadline.</w:t>
      </w:r>
    </w:p>
    <w:p>
      <w:pPr>
        <w:pStyle w:val="ListNumber"/>
      </w:pPr>
      <w:r>
        <w:t>Circulate complete draft reply brief outline for partner review ahead of the internal drafting deadline.</w:t>
      </w:r>
    </w:p>
    <w:p>
      <w:pPr>
        <w:pStyle w:val="ListNumber"/>
      </w:pPr>
      <w:r>
        <w:t>Finalize citations and proofread standard-of-review section (Section IV) once internal read is complete.</w:t>
      </w:r>
    </w:p>
    <w:p>
      <w:pPr>
        <w:pStyle w:val="ListNumber"/>
      </w:pPr>
      <w:r>
        <w:t>Obtain confirmation of the specific statutory provision and governing limitations period identified in Section V-B, verify the March 2021 accrual date falls within that period, and resolve the outstanding [Statute]/[X]-year bracket in the Section II draft accordingly.</w:t>
      </w:r>
    </w:p>
    <w:p>
      <w:pPr>
        <w:pStyle w:val="ListNumber"/>
      </w:pPr>
      <w:r>
        <w:t>Fold the finalized argument — including the accrual-date reasoning developed across prior sessions, with inquiry notice presented as the lead theory and sequenced first, the tolling-interaction analysis addressed as part of that lead theory, and causation-based accrual preserved as the alternative — into the reply brief outline once the limitations period is confirmed.</w:t>
      </w:r>
    </w:p>
    <w:p>
      <w:r>
        <w:t>No changes to substantive conclusions or posture from the prior draft. This memorandum remains a working draft pending resolution of the items identified in Section 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