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Pryor Reply Brief – Work Plan &amp; Staffing Outline</w:t>
      </w:r>
    </w:p>
    <w:p>
      <w:r>
        <w:t>Prepared by Hyun-woo Bae. Filing deadline: one week from Monday. This outline sets the workstreams, sequencing, and staffing needed to file a complete, cite-checked reply on time, with buffer for partner review and final QC before service.</w:t>
      </w:r>
    </w:p>
    <w:p>
      <w:pPr>
        <w:pStyle w:val="Heading2"/>
      </w:pPr>
      <w:r>
        <w:t>1. Governing deadline and internal milestones</w:t>
      </w:r>
    </w:p>
    <w:p>
      <w:pPr>
        <w:pStyle w:val="ListNumber"/>
      </w:pPr>
      <w:r>
        <w:t>Court deadline: reply brief due one week from Monday (the following Monday). Treat this as immovable.</w:t>
      </w:r>
    </w:p>
    <w:p>
      <w:pPr>
        <w:pStyle w:val="ListNumber"/>
      </w:pPr>
      <w:r>
        <w:t>Internal draft-complete target: Wednesday of the deadline week, to leave two clear days for partner review and revision.</w:t>
      </w:r>
    </w:p>
    <w:p>
      <w:pPr>
        <w:pStyle w:val="ListNumber"/>
      </w:pPr>
      <w:r>
        <w:t>Cite-check and record-cite verification lock: Thursday EOD.</w:t>
      </w:r>
    </w:p>
    <w:p>
      <w:pPr>
        <w:pStyle w:val="ListNumber"/>
      </w:pPr>
      <w:r>
        <w:t>Final proofread and table of authorities/exhibits check: Friday.</w:t>
      </w:r>
    </w:p>
    <w:p>
      <w:pPr>
        <w:pStyle w:val="ListNumber"/>
      </w:pPr>
      <w:r>
        <w:t>Filing-ready PDF assembled and circulated for sign-off: Friday EOD.</w:t>
      </w:r>
    </w:p>
    <w:p>
      <w:pPr>
        <w:pStyle w:val="ListNumber"/>
      </w:pPr>
      <w:r>
        <w:t>Filed and served: Monday morning, ahead of the court's stated cutoff.</w:t>
      </w:r>
    </w:p>
    <w:p>
      <w:pPr>
        <w:pStyle w:val="Heading2"/>
      </w:pPr>
      <w:r>
        <w:t>2. Workstreams</w:t>
      </w:r>
    </w:p>
    <w:p>
      <w:pPr>
        <w:pStyle w:val="ListNumber"/>
      </w:pPr>
      <w:r>
        <w:t>Substantive argument drafting — responds point-by-point to opposition's brief; owns the legal argument sections.</w:t>
      </w:r>
    </w:p>
    <w:p>
      <w:pPr>
        <w:pStyle w:val="ListNumber"/>
      </w:pPr>
      <w:r>
        <w:t>Record and deposition support — pulls and verifies citations to the Pryor deposition summary and record evidence; confirms no timeline discrepancies (already reviewed, no issues found on the timeline section).</w:t>
      </w:r>
    </w:p>
    <w:p>
      <w:pPr>
        <w:pStyle w:val="ListNumber"/>
      </w:pPr>
      <w:r>
        <w:t>Cite-check and Bluebook/local-rule compliance — verifies every citation, pin cite, and quotation against source documents.</w:t>
      </w:r>
    </w:p>
    <w:p>
      <w:pPr>
        <w:pStyle w:val="ListNumber"/>
      </w:pPr>
      <w:r>
        <w:t>Exhibit and appendix assembly — compiles supporting exhibits, declarations, and appendix in filing order.</w:t>
      </w:r>
    </w:p>
    <w:p>
      <w:pPr>
        <w:pStyle w:val="ListNumber"/>
      </w:pPr>
      <w:r>
        <w:t>Partner review and revision — substantive read for argument strength, tone, and risk; sets revision priorities.</w:t>
      </w:r>
    </w:p>
    <w:p>
      <w:pPr>
        <w:pStyle w:val="ListNumber"/>
      </w:pPr>
      <w:r>
        <w:t>Final production and filing — formats to court rules, converts to PDF, files and serves.</w:t>
      </w:r>
    </w:p>
    <w:p>
      <w:pPr>
        <w:pStyle w:val="Heading2"/>
      </w:pPr>
      <w:r>
        <w:t>3. Staffing outline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Target completion</w:t>
            </w:r>
          </w:p>
        </w:tc>
      </w:tr>
      <w:tr>
        <w:tc>
          <w:tcPr>
            <w:tcW w:type="dxa" w:w="2160"/>
          </w:tcPr>
          <w:p>
            <w:r>
              <w:t>Substantive argument drafting</w:t>
            </w:r>
          </w:p>
        </w:tc>
        <w:tc>
          <w:tcPr>
            <w:tcW w:type="dxa" w:w="2160"/>
          </w:tcPr>
          <w:p>
            <w:r>
              <w:t>Partner (assign on kickoff)</w:t>
            </w:r>
          </w:p>
        </w:tc>
        <w:tc>
          <w:tcPr>
            <w:tcW w:type="dxa" w:w="2160"/>
          </w:tcPr>
          <w:p>
            <w:r>
              <w:t>Hyun-woo Bae</w:t>
            </w:r>
          </w:p>
        </w:tc>
        <w:tc>
          <w:tcPr>
            <w:tcW w:type="dxa" w:w="2160"/>
          </w:tcPr>
          <w:p>
            <w:r>
              <w:t>Wed, deadline week</w:t>
            </w:r>
          </w:p>
        </w:tc>
      </w:tr>
      <w:tr>
        <w:tc>
          <w:tcPr>
            <w:tcW w:type="dxa" w:w="2160"/>
          </w:tcPr>
          <w:p>
            <w:r>
              <w:t>Record/deposition support</w:t>
            </w:r>
          </w:p>
        </w:tc>
        <w:tc>
          <w:tcPr>
            <w:tcW w:type="dxa" w:w="2160"/>
          </w:tcPr>
          <w:p>
            <w:r>
              <w:t>Hyun-woo Bae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Complete — no open issues</w:t>
            </w:r>
          </w:p>
        </w:tc>
      </w:tr>
      <w:tr>
        <w:tc>
          <w:tcPr>
            <w:tcW w:type="dxa" w:w="2160"/>
          </w:tcPr>
          <w:p>
            <w:r>
              <w:t>Cite-check &amp; compliance</w:t>
            </w:r>
          </w:p>
        </w:tc>
        <w:tc>
          <w:tcPr>
            <w:tcW w:type="dxa" w:w="2160"/>
          </w:tcPr>
          <w:p>
            <w:r>
              <w:t>Rosalie</w:t>
            </w:r>
          </w:p>
        </w:tc>
        <w:tc>
          <w:tcPr>
            <w:tcW w:type="dxa" w:w="2160"/>
          </w:tcPr>
          <w:p>
            <w:r>
              <w:t>Hyun-woo Bae (spot-check)</w:t>
            </w:r>
          </w:p>
        </w:tc>
        <w:tc>
          <w:tcPr>
            <w:tcW w:type="dxa" w:w="2160"/>
          </w:tcPr>
          <w:p>
            <w:r>
              <w:t>Thu EOD, deadline week</w:t>
            </w:r>
          </w:p>
        </w:tc>
      </w:tr>
      <w:tr>
        <w:tc>
          <w:tcPr>
            <w:tcW w:type="dxa" w:w="2160"/>
          </w:tcPr>
          <w:p>
            <w:r>
              <w:t>Exhibit/appendix assembly</w:t>
            </w:r>
          </w:p>
        </w:tc>
        <w:tc>
          <w:tcPr>
            <w:tcW w:type="dxa" w:w="2160"/>
          </w:tcPr>
          <w:p>
            <w:r>
              <w:t>Rosalie</w:t>
            </w:r>
          </w:p>
        </w:tc>
        <w:tc>
          <w:tcPr>
            <w:tcW w:type="dxa" w:w="2160"/>
          </w:tcPr>
          <w:p>
            <w:r>
              <w:t>Hyun-woo Bae</w:t>
            </w:r>
          </w:p>
        </w:tc>
        <w:tc>
          <w:tcPr>
            <w:tcW w:type="dxa" w:w="2160"/>
          </w:tcPr>
          <w:p>
            <w:r>
              <w:t>Thu EOD, deadline week</w:t>
            </w:r>
          </w:p>
        </w:tc>
      </w:tr>
      <w:tr>
        <w:tc>
          <w:tcPr>
            <w:tcW w:type="dxa" w:w="2160"/>
          </w:tcPr>
          <w:p>
            <w:r>
              <w:t>Partner review &amp; revision</w:t>
            </w:r>
          </w:p>
        </w:tc>
        <w:tc>
          <w:tcPr>
            <w:tcW w:type="dxa" w:w="2160"/>
          </w:tcPr>
          <w:p>
            <w:r>
              <w:t>Partner (assign on kickoff)</w:t>
            </w:r>
          </w:p>
        </w:tc>
        <w:tc>
          <w:tcPr>
            <w:tcW w:type="dxa" w:w="2160"/>
          </w:tcPr>
          <w:p>
            <w:r>
              <w:t>Hyun-woo Bae</w:t>
            </w:r>
          </w:p>
        </w:tc>
        <w:tc>
          <w:tcPr>
            <w:tcW w:type="dxa" w:w="2160"/>
          </w:tcPr>
          <w:p>
            <w:r>
              <w:t>Fri, deadline week</w:t>
            </w:r>
          </w:p>
        </w:tc>
      </w:tr>
      <w:tr>
        <w:tc>
          <w:tcPr>
            <w:tcW w:type="dxa" w:w="2160"/>
          </w:tcPr>
          <w:p>
            <w:r>
              <w:t>Final production &amp; filing</w:t>
            </w:r>
          </w:p>
        </w:tc>
        <w:tc>
          <w:tcPr>
            <w:tcW w:type="dxa" w:w="2160"/>
          </w:tcPr>
          <w:p>
            <w:r>
              <w:t>Hyun-woo Bae</w:t>
            </w:r>
          </w:p>
        </w:tc>
        <w:tc>
          <w:tcPr>
            <w:tcW w:type="dxa" w:w="2160"/>
          </w:tcPr>
          <w:p>
            <w:r>
              <w:t>Rosalie</w:t>
            </w:r>
          </w:p>
        </w:tc>
        <w:tc>
          <w:tcPr>
            <w:tcW w:type="dxa" w:w="2160"/>
          </w:tcPr>
          <w:p>
            <w:r>
              <w:t>Mon AM, filing day</w:t>
            </w:r>
          </w:p>
        </w:tc>
      </w:tr>
    </w:tbl>
    <w:p>
      <w:pPr>
        <w:pStyle w:val="Heading2"/>
      </w:pPr>
      <w:r>
        <w:t>4. Status inputs already in hand</w:t>
      </w:r>
    </w:p>
    <w:p>
      <w:pPr>
        <w:pStyle w:val="ListBullet"/>
      </w:pPr>
      <w:r>
        <w:t>Pryor deposition summary and reply-status memo reviewed; timeline section confirmed with no issues.</w:t>
      </w:r>
    </w:p>
    <w:p>
      <w:pPr>
        <w:pStyle w:val="ListBullet"/>
      </w:pPr>
      <w:r>
        <w:t>Rosalie is available for cite-check and exhibit-list work — she was cleared off Sable Ridge exhibit build once that filing went out, and her privilege log and cite-check/declaration package experience there (including closing out Ex. 17) transfers directly to this exhibit assembly workstream.</w:t>
      </w:r>
    </w:p>
    <w:p>
      <w:pPr>
        <w:pStyle w:val="Heading2"/>
      </w:pPr>
      <w:r>
        <w:t>5. Risks and open items</w:t>
      </w:r>
    </w:p>
    <w:p>
      <w:pPr>
        <w:pStyle w:val="ListNumber"/>
      </w:pPr>
      <w:r>
        <w:t>Partner assignment for substantive drafting lead is not yet confirmed — needed by kickoff to hold the Wednesday draft-complete target.</w:t>
      </w:r>
    </w:p>
    <w:p>
      <w:pPr>
        <w:pStyle w:val="ListNumber"/>
      </w:pPr>
      <w:r>
        <w:t>No slack remaining in the schedule if court rules require unusual formatting (e.g., word-count certification, local exhibit tabbing) — to be confirmed at kickoff.</w:t>
      </w:r>
    </w:p>
    <w:p>
      <w:pPr>
        <w:pStyle w:val="ListNumber"/>
      </w:pPr>
      <w:r>
        <w:t>Will flag promptly if any workstream slips past its internal milestone, rather than waiting for the Friday checkpoint.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