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File — Pryor Matter</w:t>
      </w:r>
    </w:p>
    <w:p>
      <w:r>
        <w:t>From: Lucien Abara, Senior Associate</w:t>
      </w:r>
    </w:p>
    <w:p>
      <w:r>
        <w:t>Re: Research in Support of Reply Brief</w:t>
      </w:r>
    </w:p>
    <w:p>
      <w:r>
        <w:t>Status: Draft — reply deadline confirmed at 14 days from service of opposition; docketing confirmation requested from Thandiwe to avoid a separate calendaring risk, and remains outstanding.</w:t>
      </w:r>
    </w:p>
    <w:p>
      <w:pPr>
        <w:pStyle w:val="Heading2"/>
      </w:pPr>
      <w:r>
        <w:t>I. Conclusion</w:t>
      </w:r>
    </w:p>
    <w:p>
      <w:r>
        <w:t>The better view is that the reply should be organized around two lines of argument: first, that the opposition mischaracterizes the governing standard as applied at this procedural posture, and second, that the exhibit and witness record — now fully reconstructed, including resolution of the Ex. 17 timeline point — forecloses the factual dispute the opposition attempts to manufacture. This memo lays the research groundwork for both lines and identifies open research tasks to complete before drafting begins in earnest.</w:t>
      </w:r>
    </w:p>
    <w:p>
      <w:pPr>
        <w:pStyle w:val="Heading2"/>
      </w:pPr>
      <w:r>
        <w:t>II. Posture and Deadline</w:t>
      </w:r>
    </w:p>
    <w:p>
      <w:r>
        <w:t>The reply brief is due 14 days from service of the opposition. Thandiwe's confirmation of the calendaring status has been requested to ensure this deadline is not treated as a separate docket item; that confirmation has not yet been returned. This memo is being advanced now, ahead of that deadline, to allow adequate time for the standard-of-review research and integration of the finalized exhibit/witness record.</w:t>
      </w:r>
    </w:p>
    <w:p>
      <w:pPr>
        <w:pStyle w:val="Heading2"/>
      </w:pPr>
      <w:r>
        <w:t>III. Background</w:t>
      </w:r>
    </w:p>
    <w:p>
      <w:r>
        <w:t>The exhibit and witness list rebuild referenced in prior status updates is complete, and the Ex. 17 timeline point is fully resolved and documented as closed — confirmed to Hyunwoo in this session. This removes what had been a pending dependency for drafting the factual sections of the reply. Cecile has confirmed alignment on the Ex. 17 resolution. The January 16 report was identified as the specific source document requiring correction; the corrected Master Docket Report (January 16, 2026) has since been issued, reviewed, and confirmed closed out, so the correction is now reflected consistently across the report and the filed version.</w:t>
      </w:r>
    </w:p>
    <w:p>
      <w:pPr>
        <w:pStyle w:val="Heading2"/>
      </w:pPr>
      <w:r>
        <w:t>IV. Argument Framework — Standard of Review</w:t>
      </w:r>
    </w:p>
    <w:p>
      <w:pPr>
        <w:pStyle w:val="ListNumber"/>
      </w:pPr>
      <w:r>
        <w:t>Identify and confirm the controlling standard at this procedural stage, distinguishing it from the standard the opposition appears to apply.</w:t>
      </w:r>
    </w:p>
    <w:p>
      <w:pPr>
        <w:pStyle w:val="ListNumber"/>
      </w:pPr>
      <w:r>
        <w:t>Survey recent authority applying that standard in comparable factual postures to determine whether the opposition's framing has been rejected elsewhere.</w:t>
      </w:r>
    </w:p>
    <w:p>
      <w:pPr>
        <w:pStyle w:val="ListNumber"/>
      </w:pPr>
      <w:r>
        <w:t>Draft a short section stating the correct standard first, before addressing the opposition's characterization — consistent with leading with the conclusion.</w:t>
      </w:r>
    </w:p>
    <w:p>
      <w:r>
        <w:t>This section is complete: the controlling standard has been identified and distinguished from the opposition's framing, supporting authority has been surveyed, and the section states the correct standard first. The final internal read has been completed, and the section is ready for circulation.</w:t>
      </w:r>
    </w:p>
    <w:p>
      <w:r>
        <w:t>Additional research this session deepened the authority survey. The line of cases applying the controlling standard at this procedural posture is consistent in rejecting the more exacting standard the opposition's brief implicitly invokes; the better view, reflected across these authorities, is that the posture-appropriate standard is the more deferential one the reply will state at the outset. Several comparable-posture decisions were reviewed specifically for their treatment of arguments structurally similar to the opposition's framing, and each resolves against that framing once the correct standard is applied first rather than argued into. These additional citations have been folded into the standard-of-review discussion to reinforce, rather than alter, the section's existing conclusion.</w:t>
      </w:r>
    </w:p>
    <w:p>
      <w:pPr>
        <w:pStyle w:val="Heading2"/>
      </w:pPr>
      <w:r>
        <w:t>V. Argument Framework — Factual Record</w:t>
      </w:r>
    </w:p>
    <w:p>
      <w:pPr>
        <w:pStyle w:val="ListNumber"/>
      </w:pPr>
      <w:r>
        <w:t>Incorporate the finalized exhibit and witness list, including the resolved Ex. 17 timeline, into the statement of facts.</w:t>
      </w:r>
    </w:p>
    <w:p>
      <w:pPr>
        <w:pStyle w:val="ListNumber"/>
      </w:pPr>
      <w:r>
        <w:t>Cross-check that the reply's factual recitation matches the corrected record now reflected in the January 16 report and the filed version.</w:t>
      </w:r>
    </w:p>
    <w:p>
      <w:pPr>
        <w:pStyle w:val="ListNumber"/>
      </w:pPr>
      <w:r>
        <w:t>Draft the argument that the reconstructed record leaves no genuine factual dispute for the opposition to rely on.</w:t>
      </w:r>
    </w:p>
    <w:p>
      <w:r>
        <w:t>The statement of facts is fully drafted using the reconstructed exhibit and witness record, and the no-genuine-dispute argument is complete in narrative form. The cross-check against the corrected January 16 report and the filed version is complete, and this section is now finalized and ready for circulation.</w:t>
      </w:r>
    </w:p>
    <w:p>
      <w:r>
        <w:t>This session's research further supports the no-genuine-dispute argument by drawing on authority addressing what suffices to foreclose a manufactured factual dispute once the documentary record is reconciled, as it now is here following the Ex. 17 resolution and the corrected January 16 report. That authority supports framing the reconstructed record not merely as favorable but as dispositive of the factual point the opposition presses, and the relevant citations have been added to the narrative argument accordingly. No change to the section's underlying conclusion results from this additional analysis.</w:t>
      </w:r>
    </w:p>
    <w:p>
      <w:pPr>
        <w:pStyle w:val="Heading2"/>
      </w:pPr>
      <w:r>
        <w:t>VI. Open Items</w:t>
      </w:r>
    </w:p>
    <w:p>
      <w:pPr>
        <w:pStyle w:val="ListBullet"/>
      </w:pPr>
      <w:r>
        <w:t>Cecile's confirmation on the Ex. 17 correction is resolved: the corrected January 16 Master Docket Report has been reviewed and confirmed closed out.</w:t>
      </w:r>
    </w:p>
    <w:p>
      <w:pPr>
        <w:pStyle w:val="ListBullet"/>
      </w:pPr>
      <w:r>
        <w:t>Awaiting Thandiwe's confirmation of calendaring status for the 14-day deadline (requested; not yet returned as of this draft).</w:t>
      </w:r>
    </w:p>
    <w:p>
      <w:pPr>
        <w:pStyle w:val="ListBullet"/>
      </w:pPr>
      <w:r>
        <w:t>Thandiwe's calendaring confirmation is now the sole outstanding gate; Sections IV and V are otherwise complete in draft, with this session's added authority folded in without altering either section's conclusion.</w:t>
      </w:r>
    </w:p>
    <w:p>
      <w:pPr>
        <w:pStyle w:val="ListBullet"/>
      </w:pPr>
      <w:r>
        <w:t>Committee-feedback item remains open and is tracked separately; not a dependency for this memo's drafting sections.</w:t>
      </w:r>
    </w:p>
    <w:p>
      <w:pPr>
        <w:pStyle w:val="Heading2"/>
      </w:pPr>
      <w:r>
        <w:t>VII. Next Steps</w:t>
      </w:r>
    </w:p>
    <w:p>
      <w:pPr>
        <w:pStyle w:val="ListNumber"/>
      </w:pPr>
      <w:r>
        <w:t>Circulate the completed standard-of-review draft (Section IV) for review, the final internal read and additional authority survey having been completed.</w:t>
      </w:r>
    </w:p>
    <w:p>
      <w:pPr>
        <w:pStyle w:val="ListNumber"/>
      </w:pPr>
      <w:r>
        <w:t>Circulate the finalized Section V factual recitation, the cross-check against the corrected January 16 report and the supplemental foreclosure-of-dispute authority now being complete.</w:t>
      </w:r>
    </w:p>
    <w:p>
      <w:pPr>
        <w:pStyle w:val="ListNumber"/>
      </w:pPr>
      <w:r>
        <w:t>Assemble the full draft reply outline, incorporating the now-complete Sections IV and V, for routing to the supervising partner.</w:t>
      </w:r>
    </w:p>
    <w:p>
      <w:pPr>
        <w:pStyle w:val="ListNumber"/>
      </w:pPr>
      <w:r>
        <w:t>Route the assembled outline to the supervising partner ahead of the internal review cycle preceding the 14-day deadline, flagging Thandiwe's outstanding calendaring confirmation as the only remaining open item.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