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Revised Section: Intellectual Property Ownership and Assignment</w:t>
      </w:r>
    </w:p>
    <w:p>
      <w:r>
        <w:t>This draft revises the Improvement definition and ownership allocation provisions of the Ravenna collaboration agreement to resolve the joint-ownership dispute flagged internally as urgent. The current language ties ownership to contractual allocation rather than inventorship, which is the source of the ambiguity now affecting two pending patent applications held in drafting. The revisions below are intended to close that gap by defining Improvements more precisely, separating ownership from inventorship determinations, and adding a dispute mechanism that operates on a fixed timeline rather than an open-ended negotiation.</w:t>
      </w:r>
    </w:p>
    <w:p>
      <w:pPr>
        <w:pStyle w:val="Heading2"/>
      </w:pPr>
      <w:r>
        <w:t>1. Definitions</w:t>
      </w:r>
    </w:p>
    <w:p>
      <w:r>
        <w:t>"Improvement" means any invention, discovery, enhancement, modification, or derivative work, whether or not patentable, that (a) is conceived, developed, or reduced to practice by either Party's personnel in the course of activities performed under this Agreement, and (b) relates to, incorporates, or is derived from the Background IP or Program IP of either Party. An Improvement is a "Joint Improvement" only where the Parties' respective contributions cannot reasonably be separated and independently practiced without infringing the other Party's Background IP. All other Improvements are "Sole Improvements" of the Party whose Background IP the Improvement principally advances, regardless of which Party's personnel authored the Improvement.</w:t>
      </w:r>
    </w:p>
    <w:p>
      <w:r>
        <w:t>This clarifies that ownership allocation under this Agreement is a contractual construct and does not depend on, track, or require resolution of inventorship under patent law. Inventorship shall be determined separately and solely for purposes of patent prosecution, in accordance with Section 4 below, and shall not affect the ownership allocation set forth in this Section.</w:t>
      </w:r>
    </w:p>
    <w:p>
      <w:pPr>
        <w:pStyle w:val="Heading2"/>
      </w:pPr>
      <w:r>
        <w:t>2. Ownership Allocation</w:t>
      </w:r>
    </w:p>
    <w:p>
      <w:pPr>
        <w:pStyle w:val="ListBullet"/>
      </w:pPr>
      <w:r>
        <w:t>Sole Improvements are owned exclusively by the Party identified in Section 1, subject to the license grants in Section 3.</w:t>
      </w:r>
    </w:p>
    <w:p>
      <w:pPr>
        <w:pStyle w:val="ListBullet"/>
      </w:pPr>
      <w:r>
        <w:t>Joint Improvements are owned jointly by the Parties as tenants in common, with each Party free to exploit, license, and assign its interest without accounting to the other Party, except that neither Party may grant an exclusive license to a Joint Improvement without the other Party's prior written consent.</w:t>
      </w:r>
    </w:p>
    <w:p>
      <w:pPr>
        <w:pStyle w:val="ListBullet"/>
      </w:pPr>
      <w:r>
        <w:t>Where an Improvement was developed using both Parties' Background IP but is severable, each Party owns the portion attributable to its own Background IP, and the Parties shall cooperate in good faith to document that severability in the invention disclosure required under Section 4.</w:t>
      </w:r>
    </w:p>
    <w:p>
      <w:pPr>
        <w:pStyle w:val="Heading2"/>
      </w:pPr>
      <w:r>
        <w:t>3. License-Back and Sublicense Rights</w:t>
      </w:r>
    </w:p>
    <w:p>
      <w:r>
        <w:t>Each Party grants the other a non-exclusive, worldwide, royalty-free license under its Sole Improvements and its interest in any Joint Improvement, solely as necessary for the other Party to exercise its rights under this Agreement. Sublicense rights under this Section are subject to the ownership caveat set out in the disclosure schedule accompanying any financing or transaction document referencing this Agreement, and any sublicense granted before the ownership status of a disputed Improvement is resolved under Section 5 shall be deemed provisional and subject to adjustment consistent with that resolution.</w:t>
      </w:r>
    </w:p>
    <w:p>
      <w:pPr>
        <w:pStyle w:val="Heading2"/>
      </w:pPr>
      <w:r>
        <w:t>4. Invention Disclosure and Inventorship</w:t>
      </w:r>
    </w:p>
    <w:p>
      <w:r>
        <w:t>Each Party shall promptly disclose to the other any Improvement conceived or reduced to practice under this Agreement, together with sufficient detail to permit the other Party to assess whether the Improvement is a Sole Improvement or a Joint Improvement under Section 1. Inventorship for any patent application claiming an Improvement shall be determined by outside patent counsel in accordance with applicable patent law, independent of the ownership allocation determined under Section 2. Where inventorship determination would delay a filing deadline, the Party controlling prosecution may file naming inventors provisionally, without prejudice to the ownership allocation under this Agreement, and shall promptly notify the other Party of the filing and the basis for the provisional inventorship determination.</w:t>
      </w:r>
    </w:p>
    <w:p>
      <w:pPr>
        <w:pStyle w:val="Heading2"/>
      </w:pPr>
      <w:r>
        <w:t>5. Dispute Resolution for Improvement Ownership</w:t>
      </w:r>
    </w:p>
    <w:p>
      <w:r>
        <w:t>If the Parties disagree as to whether an Improvement is a Sole Improvement or a Joint Improvement, or as to the allocation of a severable Improvement under Section 2(c), either Party may refer the dispute to a technical mediator jointly selected by the Parties' respective patent counsel within ten (10) business days of the referral. The mediator shall issue a non-binding recommendation within thirty (30) days. If the Parties do not accept the recommendation within fifteen (15) days, either Party may pursue the dispute under the general dispute resolution provisions of this Agreement, provided that pending resolution, the Improvement shall be treated as a Joint Improvement for purposes of any pending patent filing deadline, so that a protective filing may be made without prejudice to either Party's ultimate ownership position.</w:t>
      </w:r>
    </w:p>
    <w:p>
      <w:pPr>
        <w:pStyle w:val="Heading2"/>
      </w:pPr>
      <w:r>
        <w:t>6. Filing Deadlines During a Pending Dispute</w:t>
      </w:r>
    </w:p>
    <w:p>
      <w:r>
        <w:t>Where a filing deadline under applicable patent law would otherwise lapse during the pendency of a dispute under Section 5, the Party with operational control of the relevant technology shall file a protective application naming inventors consistent with Section 4, and shall record the filing as subject to the ownership dispute. Neither Party's rights under Section 2 are waived, narrowed, or otherwise affected by a protective filing made under this Section.</w:t>
      </w:r>
    </w:p>
    <w:p>
      <w:pPr>
        <w:pStyle w:val="Heading2"/>
      </w:pPr>
      <w:r>
        <w:t>Drafting Notes</w:t>
      </w:r>
    </w:p>
    <w:p>
      <w:pPr>
        <w:pStyle w:val="ListNumber"/>
      </w:pPr>
      <w:r>
        <w:t>Section 5's protective-filing mechanism is designed to unblock the two Ravenna-related applications currently held in drafting pending resolution of the inventorship question, consistent with the revised three-week filing timeline communicated to the business team.</w:t>
      </w:r>
    </w:p>
    <w:p>
      <w:pPr>
        <w:pStyle w:val="ListNumber"/>
      </w:pPr>
      <w:r>
        <w:t>Section 3's provisional-sublicense language is intended to support the disclosure-schedule caveat approach already recommended for the Series C materials, so the ownership dispute does not need to be resolved before sublicense rights are disclosed.</w:t>
      </w:r>
    </w:p>
    <w:p>
      <w:pPr>
        <w:pStyle w:val="ListNumber"/>
      </w:pPr>
      <w:r>
        <w:t>This draft has not yet been reviewed by Ravenna's counsel. Recommend circulating internally first given the open documentation-strength and disclosure-exposure questions still under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