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Cross-Border Data Transfer Risk Assessment</w:t>
      </w:r>
    </w:p>
    <w:p>
      <w:r>
        <w:t>Drafted by Gideon Park. Reviewed by Oskar Ravndal. Review notes are inserted as a new Section 8 and as bracketed reviewer comments inline. No original content has been removed.</w:t>
      </w:r>
    </w:p>
    <w:p>
      <w:pPr>
        <w:pStyle w:val="Heading2"/>
      </w:pPr>
      <w:r>
        <w:t>Section 1. Scope and Purpose</w:t>
      </w:r>
    </w:p>
    <w:p>
      <w:r>
        <w:t>This memorandum assesses cross-border data transfer risk arising from the client's EU and UK operations, including the four EU sites currently subject to follow-up diligence, the UK transfer mechanism, and sub-processor arrangements maintained through the Ravenna engagement structure. [Reviewer note — O.R.: Scope statement is accurate as far as it goes, but does not state whether US and other third-country transfers outside the EU/UK corridor were considered or excluded. Confirm scope boundary expressly.]</w:t>
      </w:r>
    </w:p>
    <w:p>
      <w:pPr>
        <w:pStyle w:val="Heading2"/>
      </w:pPr>
      <w:r>
        <w:t>Section 2. Applicable Legal Framework</w:t>
      </w:r>
    </w:p>
    <w:p>
      <w:r>
        <w:t>The assessment applies the EU Standard Contractual Clauses (SCCs) under the 2021 Commission Implementing Decision, the UK International Data Transfer Agreement (IDTA), and applicable transfer impact assessment (TIA) methodology consistent with Schrems II.</w:t>
      </w:r>
    </w:p>
    <w:p>
      <w:pPr>
        <w:pStyle w:val="ListBullet"/>
      </w:pPr>
      <w:r>
        <w:t>EU SCCs, Module Two (controller-to-processor) and Module Three (processor-to-processor) as relevant to each site</w:t>
      </w:r>
    </w:p>
    <w:p>
      <w:pPr>
        <w:pStyle w:val="ListBullet"/>
      </w:pPr>
      <w:r>
        <w:t>UK IDTA, as the UK's post-Brexit transfer mechanism</w:t>
      </w:r>
    </w:p>
    <w:p>
      <w:pPr>
        <w:pStyle w:val="ListBullet"/>
      </w:pPr>
      <w:r>
        <w:t>Transfer impact assessment addressing government access risk in the destination jurisdiction</w:t>
      </w:r>
    </w:p>
    <w:p>
      <w:pPr>
        <w:pStyle w:val="Heading2"/>
      </w:pPr>
      <w:r>
        <w:t>Section 3. Sites and Transfer Flows</w:t>
      </w:r>
    </w:p>
    <w:p>
      <w:r>
        <w:t>Four EU sites were identified in the initial review as having incomplete transfer documentation. Each site's transfer flow, data categories, and mechanism status are described below. [Reviewer note — O.R.: The memo lists four sites by function but does not name them or confirm the list is exhaustive. Site-level detail should be confirmed against the client's data-mapping record, not assumed complete from the original review.]</w:t>
      </w:r>
    </w:p>
    <w:p>
      <w:pPr>
        <w:pStyle w:val="Heading2"/>
      </w:pPr>
      <w:r>
        <w:t>Section 4. Risk Table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Risk</w:t>
            </w:r>
          </w:p>
        </w:tc>
        <w:tc>
          <w:tcPr>
            <w:tcW w:type="dxa" w:w="2880"/>
          </w:tcPr>
          <w:p>
            <w:r>
              <w:t>Status</w:t>
            </w:r>
          </w:p>
        </w:tc>
      </w:tr>
      <w:tr>
        <w:tc>
          <w:tcPr>
            <w:tcW w:type="dxa" w:w="2880"/>
          </w:tcPr>
          <w:p>
            <w:r>
              <w:t>EU Site 1 — SCC execution</w:t>
            </w:r>
          </w:p>
        </w:tc>
        <w:tc>
          <w:tcPr>
            <w:tcW w:type="dxa" w:w="2880"/>
          </w:tcPr>
          <w:p>
            <w:r>
              <w:t>Medium</w:t>
            </w:r>
          </w:p>
        </w:tc>
        <w:tc>
          <w:tcPr>
            <w:tcW w:type="dxa" w:w="2880"/>
          </w:tcPr>
          <w:p>
            <w:r>
              <w:t>Partially remediated — module selection confirmed, signature pending</w:t>
            </w:r>
          </w:p>
        </w:tc>
      </w:tr>
      <w:tr>
        <w:tc>
          <w:tcPr>
            <w:tcW w:type="dxa" w:w="2880"/>
          </w:tcPr>
          <w:p>
            <w:r>
              <w:t>EU Site 2 — SCC execution</w:t>
            </w:r>
          </w:p>
        </w:tc>
        <w:tc>
          <w:tcPr>
            <w:tcW w:type="dxa" w:w="2880"/>
          </w:tcPr>
          <w:p>
            <w:r>
              <w:t>Medium</w:t>
            </w:r>
          </w:p>
        </w:tc>
        <w:tc>
          <w:tcPr>
            <w:tcW w:type="dxa" w:w="2880"/>
          </w:tcPr>
          <w:p>
            <w:r>
              <w:t>Partially remediated — signature obtained, annex incorporation pending</w:t>
            </w:r>
          </w:p>
        </w:tc>
      </w:tr>
      <w:tr>
        <w:tc>
          <w:tcPr>
            <w:tcW w:type="dxa" w:w="2880"/>
          </w:tcPr>
          <w:p>
            <w:r>
              <w:t>EU Site 3 — TIA</w:t>
            </w:r>
          </w:p>
        </w:tc>
        <w:tc>
          <w:tcPr>
            <w:tcW w:type="dxa" w:w="2880"/>
          </w:tcPr>
          <w:p>
            <w:r>
              <w:t>Medium-High</w:t>
            </w:r>
          </w:p>
        </w:tc>
        <w:tc>
          <w:tcPr>
            <w:tcW w:type="dxa" w:w="2880"/>
          </w:tcPr>
          <w:p>
            <w:r>
              <w:t>Open — TIA drafted, not yet finalized</w:t>
            </w:r>
          </w:p>
        </w:tc>
      </w:tr>
      <w:tr>
        <w:tc>
          <w:tcPr>
            <w:tcW w:type="dxa" w:w="2880"/>
          </w:tcPr>
          <w:p>
            <w:r>
              <w:t>EU Site 4 — sub-processor disclosure</w:t>
            </w:r>
          </w:p>
        </w:tc>
        <w:tc>
          <w:tcPr>
            <w:tcW w:type="dxa" w:w="2880"/>
          </w:tcPr>
          <w:p>
            <w:r>
              <w:t>Medium</w:t>
            </w:r>
          </w:p>
        </w:tc>
        <w:tc>
          <w:tcPr>
            <w:tcW w:type="dxa" w:w="2880"/>
          </w:tcPr>
          <w:p>
            <w:r>
              <w:t>Partially remediated — disclosure received, review in progress</w:t>
            </w:r>
          </w:p>
        </w:tc>
      </w:tr>
      <w:tr>
        <w:tc>
          <w:tcPr>
            <w:tcW w:type="dxa" w:w="2880"/>
          </w:tcPr>
          <w:p>
            <w:r>
              <w:t>UK transfer mechanism (IDTA)</w:t>
            </w:r>
          </w:p>
        </w:tc>
        <w:tc>
          <w:tcPr>
            <w:tcW w:type="dxa" w:w="2880"/>
          </w:tcPr>
          <w:p>
            <w:r>
              <w:t>Medium</w:t>
            </w:r>
          </w:p>
        </w:tc>
        <w:tc>
          <w:tcPr>
            <w:tcW w:type="dxa" w:w="2880"/>
          </w:tcPr>
          <w:p>
            <w:r>
              <w:t>Partially remediated — IDTA executed, implementation confirmation outstanding</w:t>
            </w:r>
          </w:p>
        </w:tc>
      </w:tr>
      <w:tr>
        <w:tc>
          <w:tcPr>
            <w:tcW w:type="dxa" w:w="2880"/>
          </w:tcPr>
          <w:p>
            <w:r>
              <w:t>Ravenna SCC module negotiation</w:t>
            </w:r>
          </w:p>
        </w:tc>
        <w:tc>
          <w:tcPr>
            <w:tcW w:type="dxa" w:w="2880"/>
          </w:tcPr>
          <w:p>
            <w:r>
              <w:t>Medium</w:t>
            </w:r>
          </w:p>
        </w:tc>
        <w:tc>
          <w:tcPr>
            <w:tcW w:type="dxa" w:w="2880"/>
          </w:tcPr>
          <w:p>
            <w:r>
              <w:t>Open — module terms under negotiation</w:t>
            </w:r>
          </w:p>
        </w:tc>
      </w:tr>
      <w:tr>
        <w:tc>
          <w:tcPr>
            <w:tcW w:type="dxa" w:w="2880"/>
          </w:tcPr>
          <w:p>
            <w:r>
              <w:t>CRO sub-processor disclosure</w:t>
            </w:r>
          </w:p>
        </w:tc>
        <w:tc>
          <w:tcPr>
            <w:tcW w:type="dxa" w:w="2880"/>
          </w:tcPr>
          <w:p>
            <w:r>
              <w:t>Low-Medium</w:t>
            </w:r>
          </w:p>
        </w:tc>
        <w:tc>
          <w:tcPr>
            <w:tcW w:type="dxa" w:w="2880"/>
          </w:tcPr>
          <w:p>
            <w:r>
              <w:t>Partially remediated — responses received, not yet assessed for adequacy</w:t>
            </w:r>
          </w:p>
        </w:tc>
      </w:tr>
    </w:tbl>
    <w:p>
      <w:r>
        <w:t>[Reviewer note — O.R.: The Status column is new to this revision and is a welcome addition. However, 'partially remediated' is used for five of seven items without a defined threshold for what remediation completion requires. Recommend adding a completion criterion per row so the status is verifiable rather than descriptive.]</w:t>
      </w:r>
    </w:p>
    <w:p>
      <w:pPr>
        <w:pStyle w:val="Heading2"/>
      </w:pPr>
      <w:r>
        <w:t>Section 5. Recommendation</w:t>
      </w:r>
    </w:p>
    <w:p>
      <w:r>
        <w:t>The recommendation has been revised to address remaining open items only, consistent with engagement progress since the initial review. Open items are: (a) finalize the TIA for EU Site 3; (b) complete Ravenna SCC module negotiation; (c) assess adequacy of CRO sub-processor disclosure responses; (d) confirm IDTA implementation for the UK transfer; (e) complete annex incorporation for EU Site 2. [Reviewer note — O.R.: Agreed this is the correct set of open items based on the Section 6 status update below. I do not read the record as supporting closure of any item not listed here — in particular, EU Sites 1, 2, and 4 and the UK mechanism remain partially open notwithstanding the 'partially remediated' status, and the recommendation is correct to treat them as unresolved for purposes of sign-off.]</w:t>
      </w:r>
    </w:p>
    <w:p>
      <w:pPr>
        <w:pStyle w:val="Heading2"/>
      </w:pPr>
      <w:r>
        <w:t>Section 6. Follow-Up Diligence Status</w:t>
      </w:r>
    </w:p>
    <w:p>
      <w:r>
        <w:t>This section documents diligence undertaken since the initial review.</w:t>
      </w:r>
    </w:p>
    <w:p>
      <w:pPr>
        <w:pStyle w:val="ListBullet"/>
      </w:pPr>
      <w:r>
        <w:t>Four outstanding EU sites: SCC posture confirmed for two sites (execution or annex incorporation pending); TIA in progress for the third; sub-processor disclosure received and under review for the fourth.</w:t>
      </w:r>
    </w:p>
    <w:p>
      <w:pPr>
        <w:pStyle w:val="ListBullet"/>
      </w:pPr>
      <w:r>
        <w:t>UK IDTA: executed; implementation confirmation (technical and organizational measures cross-reference) outstanding.</w:t>
      </w:r>
    </w:p>
    <w:p>
      <w:pPr>
        <w:pStyle w:val="ListBullet"/>
      </w:pPr>
      <w:r>
        <w:t>TIA: drafted for the site requiring it; not yet finalized pending destination-jurisdiction legal review.</w:t>
      </w:r>
    </w:p>
    <w:p>
      <w:pPr>
        <w:pStyle w:val="ListBullet"/>
      </w:pPr>
      <w:r>
        <w:t>Ravenna SCC module negotiation: counterparty has proposed Module Three in place of the originally contemplated Module Two; negotiation ongoing.</w:t>
      </w:r>
    </w:p>
    <w:p>
      <w:pPr>
        <w:pStyle w:val="ListBullet"/>
      </w:pPr>
      <w:r>
        <w:t>CRO sub-processor disclosure: responses received from the CRO; substantive adequacy review not yet performed.</w:t>
      </w:r>
    </w:p>
    <w:p>
      <w:r>
        <w:t>[Reviewer note — O.R.: This section states what was done but not, for most items, who confirmed it or what document evidences it (e.g., the IDTA execution date and counterparty signature page are not cited). Where this memo will support a sign-off decision, each bullet should carry a document reference. I have not independently verified the underlying execution and disclosure records referenced above; my sign-off in Section 8 is limited accordingly.]</w:t>
      </w:r>
    </w:p>
    <w:p>
      <w:pPr>
        <w:pStyle w:val="Heading2"/>
      </w:pPr>
      <w:r>
        <w:t>Section 7. Prior Open Items Carried Forward</w:t>
      </w:r>
    </w:p>
    <w:p>
      <w:r>
        <w:t>Unrelated open items — breach-notice reconciliation and the Ravenna Section 8 issue — are unchanged by this revision and remain tracked separately.</w:t>
      </w:r>
    </w:p>
    <w:p>
      <w:pPr>
        <w:pStyle w:val="Heading2"/>
      </w:pPr>
      <w:r>
        <w:t>Section 8. Reviewer Sign-Off (O. Ravndal)</w:t>
      </w:r>
    </w:p>
    <w:p>
      <w:r>
        <w:t>I have reviewed this memorandum as revised. My conclusions:</w:t>
      </w:r>
    </w:p>
    <w:p>
      <w:pPr>
        <w:pStyle w:val="ListNumber"/>
      </w:pPr>
      <w:r>
        <w:t>Section 4's risk table and new Status column are a genuine improvement and I concur with the risk ratings shown, subject to the completion-criterion gap noted inline.</w:t>
      </w:r>
    </w:p>
    <w:p>
      <w:pPr>
        <w:pStyle w:val="ListNumber"/>
      </w:pPr>
      <w:r>
        <w:t>Section 5's recommendation correctly limits itself to the actual open items identified in Section 6 and is supported by the record as presented to me.</w:t>
      </w:r>
    </w:p>
    <w:p>
      <w:pPr>
        <w:pStyle w:val="ListNumber"/>
      </w:pPr>
      <w:r>
        <w:t>Section 6 describes activity that is plausible and consistent with the engagement timeline, but several statements (site-level identification, IDTA execution particulars, CRO disclosure adequacy) rest on the drafter's summary rather than on documents I have independently reviewed. I flag these as assumed rather than confirmed.</w:t>
      </w:r>
    </w:p>
    <w:p>
      <w:pPr>
        <w:pStyle w:val="ListNumber"/>
      </w:pPr>
      <w:r>
        <w:t>Section 3's premise that four sites are the complete universe of outstanding EU sites is inherited from the initial review and has not been re-tested in this revision; I recommend confirming this against the current data map before relying on the memo for sign-off purposes.</w:t>
      </w:r>
    </w:p>
    <w:p>
      <w:pPr>
        <w:pStyle w:val="ListNumber"/>
      </w:pPr>
      <w:r>
        <w:t>Subject to the above, I sign off on Sections 1, 2, 4, 5, and 7 as accurately reflecting the record available to me. Section 6 is sound as a status narrative but should not be cited as independently verified diligence until the underlying documents are cross-referenced.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