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PRIVILEGED AND CONFIDENTIAL — PREPARED AT THE DIRECTION OF COUNSEL IN ANTICIPATION OF LITIGATION</w:t>
      </w:r>
    </w:p>
    <w:p>
      <w:pPr>
        <w:pStyle w:val="Heading1"/>
      </w:pPr>
      <w:r>
        <w:t>Memorandum</w:t>
      </w:r>
    </w:p>
    <w:p>
      <w:r>
        <w:t>To: Clement Abioye</w:t>
      </w:r>
    </w:p>
    <w:p>
      <w:r>
        <w:t>From: Fionnuala Doherty</w:t>
      </w:r>
    </w:p>
    <w:p>
      <w:r>
        <w:t>Re: Harassment Complaint — Investigation Scope and Interim Measures</w:t>
      </w:r>
    </w:p>
    <w:p>
      <w:r>
        <w:t>This memo sets out the scope of the investigation into the pending harassment complaint (the "Harriet matter"), the interim measures we recommend while it is pending, and the guardrails needed to keep the investigation privileged. As I flagged in the RIF guidance memo, this is a separate, urgent workstream. It should not be conflated with, or allowed to delay, the reduction in force timeline — but the two do intersect, and I address that intersection below.</w:t>
      </w:r>
    </w:p>
    <w:p>
      <w:pPr>
        <w:pStyle w:val="Heading2"/>
      </w:pPr>
      <w:r>
        <w:t>1. Direction of Counsel</w:t>
      </w:r>
    </w:p>
    <w:p>
      <w:r>
        <w:t>This investigation is being conducted under the written direction of counsel. That written direction is what supports a privilege claim over the investigation report and underlying witness notes. Practically, that means:</w:t>
      </w:r>
    </w:p>
    <w:p>
      <w:pPr>
        <w:pStyle w:val="ListBullet"/>
      </w:pPr>
      <w:r>
        <w:t>No investigation step should be taken, and no witness contacted, outside the scope we've defined in writing.</w:t>
      </w:r>
    </w:p>
    <w:p>
      <w:pPr>
        <w:pStyle w:val="ListBullet"/>
      </w:pPr>
      <w:r>
        <w:t>The investigator should mark notes and the eventual report as prepared at counsel's direction and in anticipation of litigation.</w:t>
      </w:r>
    </w:p>
    <w:p>
      <w:pPr>
        <w:pStyle w:val="ListBullet"/>
      </w:pPr>
      <w:r>
        <w:t>Findings and recommendations should come to me before they go to anyone else at Sable Ridge, including HR leadership outside the response team.</w:t>
      </w:r>
    </w:p>
    <w:p>
      <w:pPr>
        <w:pStyle w:val="ListBullet"/>
      </w:pPr>
      <w:r>
        <w:t>If anyone on the response team wants to expand scope, loop in additional witnesses, or share findings more broadly, that goes through me first — this is the piece that gets missed and costs people the privilege later.</w:t>
      </w:r>
    </w:p>
    <w:p>
      <w:pPr>
        <w:pStyle w:val="Heading2"/>
      </w:pPr>
      <w:r>
        <w:t>2. Investigation Scope</w:t>
      </w:r>
    </w:p>
    <w:p>
      <w:r>
        <w:t>The investigation covers the complaint as reported, and specifically:</w:t>
      </w:r>
    </w:p>
    <w:p>
      <w:pPr>
        <w:pStyle w:val="ListNumber"/>
      </w:pPr>
      <w:r>
        <w:t>The conduct alleged by the complainant against the named individual, including dates, locations, and any documented or corroborating communications.</w:t>
      </w:r>
    </w:p>
    <w:p>
      <w:pPr>
        <w:pStyle w:val="ListNumber"/>
      </w:pPr>
      <w:r>
        <w:t>Whether any other employees witnessed or experienced similar conduct from the same individual — this determines whether we're dealing with an isolated incident or a pattern.</w:t>
      </w:r>
    </w:p>
    <w:p>
      <w:pPr>
        <w:pStyle w:val="ListNumber"/>
      </w:pPr>
      <w:r>
        <w:t>Whether the complainant or any witness reported anything previously, to whom, and what (if anything) was done in response. This matters for notice and for any argument the company failed to act on prior knowledge.</w:t>
      </w:r>
    </w:p>
    <w:p>
      <w:pPr>
        <w:pStyle w:val="ListNumber"/>
      </w:pPr>
      <w:r>
        <w:t>The reporting chain and whether company policy and any applicable state notice requirements were followed once the complaint was received.</w:t>
      </w:r>
    </w:p>
    <w:p>
      <w:pPr>
        <w:pStyle w:val="ListNumber"/>
      </w:pPr>
      <w:r>
        <w:t>Any relationship between the complainant, the named individual, and current business decisions — including the RIF (see Section 4).</w:t>
      </w:r>
    </w:p>
    <w:p>
      <w:r>
        <w:t>Scope does not currently extend to a broader climate review of the department. If witness interviews surface a pattern suggesting that's warranted, we'll revisit — but that expansion should be a deliberate decision, not a drift.</w:t>
      </w:r>
    </w:p>
    <w:p>
      <w:pPr>
        <w:pStyle w:val="Heading2"/>
      </w:pPr>
      <w:r>
        <w:t>3. Interim Measures</w:t>
      </w:r>
    </w:p>
    <w:p>
      <w:r>
        <w:t>Pending completion of the investigation, we recommend the following, effective immediately:</w:t>
      </w:r>
    </w:p>
    <w:p>
      <w:pPr>
        <w:pStyle w:val="ListBullet"/>
      </w:pPr>
      <w:r>
        <w:t>Separate the complainant and the named individual operationally — different reporting lines, different work assignments, or a temporary schedule adjustment, whichever is least disruptive to the complainant. The point is to remove opportunity for contact without making it look like the complainant is the one being sidelined.</w:t>
      </w:r>
    </w:p>
    <w:p>
      <w:pPr>
        <w:pStyle w:val="ListBullet"/>
      </w:pPr>
      <w:r>
        <w:t>No retaliation, formal or informal, against the complainant or any witness. This includes performance reviews, schedule changes, or exclusion from projects during the investigation window.</w:t>
      </w:r>
    </w:p>
    <w:p>
      <w:pPr>
        <w:pStyle w:val="ListBullet"/>
      </w:pPr>
      <w:r>
        <w:t>The named individual should not be involved in any personnel decision affecting the complainant or witnesses until the investigation concludes.</w:t>
      </w:r>
    </w:p>
    <w:p>
      <w:pPr>
        <w:pStyle w:val="ListBullet"/>
      </w:pPr>
      <w:r>
        <w:t>Document every interim measure taken and the business reason for it, contemporaneously. If this ends up in litigation, the paper trail on interim steps is often more persuasive than the eventual findings.</w:t>
      </w:r>
    </w:p>
    <w:p>
      <w:pPr>
        <w:pStyle w:val="ListBullet"/>
      </w:pPr>
      <w:r>
        <w:t>No public or internal announcement beyond the people who need to know to implement these measures.</w:t>
      </w:r>
    </w:p>
    <w:p>
      <w:pPr>
        <w:pStyle w:val="Heading2"/>
      </w:pPr>
      <w:r>
        <w:t>4. Intersection with the RIF</w:t>
      </w:r>
    </w:p>
    <w:p>
      <w:r>
        <w:t>As I noted when I sent the adverse impact workbook, anyone connected to this investigation — the complainant, the named individual, and any identified witnesses — must be checked against the RIF selection list before it is finalized. If any of them appear on the list:</w:t>
      </w:r>
    </w:p>
    <w:p>
      <w:pPr>
        <w:pStyle w:val="ListBullet"/>
      </w:pPr>
      <w:r>
        <w:t>We need the underlying business justification for their selection documented independently of the complaint, before the RIF is announced, not after someone asks.</w:t>
      </w:r>
    </w:p>
    <w:p>
      <w:pPr>
        <w:pStyle w:val="ListBullet"/>
      </w:pPr>
      <w:r>
        <w:t>If the named individual is on the list, that needs a conversation with me before it goes anywhere — a badly timed separation of an accused harasser can look like retaliation protection or like retaliation against the complainant depending on which way it cuts, and we want to control that narrative rather than react to it.</w:t>
      </w:r>
    </w:p>
    <w:p>
      <w:pPr>
        <w:pStyle w:val="ListBullet"/>
      </w:pPr>
      <w:r>
        <w:t>If the complainant or a witness is on the list, we need to be able to show the selection criteria were applied consistently and would have produced the same result absent the complaint.</w:t>
      </w:r>
    </w:p>
    <w:p>
      <w:r>
        <w:t>This cross-check should happen before the RIF list is finalized, not as a post-hoc review. Please route the current list to me for that check as soon as it's stable.</w:t>
      </w:r>
    </w:p>
    <w:p>
      <w:pPr>
        <w:pStyle w:val="Heading2"/>
      </w:pPr>
      <w:r>
        <w:t>5. Timeline</w:t>
      </w:r>
    </w:p>
    <w:p>
      <w:r>
        <w:t>We are still awaiting a response from Harriet on witness contact status, which is the current bottleneck. Once we have that, we expect witness interviews to take one to two weeks, with a written report to follow shortly after. We do not want the RIF to wait on this investigation, and we do not want this investigation rushed to accommodate the RIF timeline. If those two clocks come into real conflict, tell me immediately rather than making a judgment call on the ground.</w:t>
      </w:r>
    </w:p>
    <w:p>
      <w:r>
        <w:t>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