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Privileged &amp; Confidential — Attorney Work Product</w:t>
      </w:r>
    </w:p>
    <w:p>
      <w:r>
        <w:t>Prepared at the direction of counsel in connection with pending litigation and anticipated reduction-in-force planning. Not for distribution outside the core planning group without prior clearance.</w:t>
      </w:r>
    </w:p>
    <w:p>
      <w:pPr>
        <w:pStyle w:val="Heading2"/>
      </w:pPr>
      <w:r>
        <w:t>To / From / Re</w:t>
      </w:r>
    </w:p>
    <w:p>
      <w:pPr>
        <w:pStyle w:val="ListBullet"/>
      </w:pPr>
      <w:r>
        <w:t>To: Sable Ridge Holdings — RIF Planning Group (Harriet, Noor)</w:t>
      </w:r>
    </w:p>
    <w:p>
      <w:pPr>
        <w:pStyle w:val="ListBullet"/>
      </w:pPr>
      <w:r>
        <w:t>From: Fionnuala Doherty</w:t>
      </w:r>
    </w:p>
    <w:p>
      <w:pPr>
        <w:pStyle w:val="ListBullet"/>
      </w:pPr>
      <w:r>
        <w:t>Re: Timing overlap between the meal-break collective action and the planned reduction in force</w:t>
      </w:r>
    </w:p>
    <w:p>
      <w:pPr>
        <w:pStyle w:val="Heading2"/>
      </w:pPr>
      <w:r>
        <w:t>Bottom Line</w:t>
      </w:r>
    </w:p>
    <w:p>
      <w:r>
        <w:t>If the RIF selection list is finalized before we know who is actually named or opted-in on the meal-break claims, we create an obvious inference problem: driver headcount goes down at the same time drivers are suing us over breaks. That inference doesn't have to be true to be expensive. We need the two individuals flagged for cross-check against the RIF list resolved before anything is finalized, and we need the driver population mapped against the collective action roster before Noor locks selection criteria. Thursday's 2pm call was the forcing function for the first piece; that call has now taken place, and this memo is the analysis behind why it matters and what else has to happen alongside it, updated below to reflect where that call and the related tracks now stand.</w:t>
      </w:r>
    </w:p>
    <w:p>
      <w:pPr>
        <w:pStyle w:val="Heading2"/>
      </w:pPr>
      <w:r>
        <w:t>1. The Collision, Plainly</w:t>
      </w:r>
    </w:p>
    <w:p>
      <w:r>
        <w:t>The meal-break collective action implicates the driver population specifically. The planned RIF, as currently scoped, will touch headcount in operational roles that overlap substantially with that same driver population. Two processes are running on separate tracks — litigation exposure assessment on one side, headcount reduction planning on the other — and they are about to intersect in the same group of people. That overlap is not itself unlawful. What creates risk is doing the RIF without deliberately checking whether selection criteria track claim participation, opt-in status, or complaint activity, because if they do — even by coincidence of shift, depot, or route assignment — we hand the plaintiffs' side a retaliation and pattern argument for free.</w:t>
      </w:r>
    </w:p>
    <w:p>
      <w:pPr>
        <w:pStyle w:val="Heading2"/>
      </w:pPr>
      <w:r>
        <w:t>2. Where the Transcript Delay Fits In</w:t>
      </w:r>
    </w:p>
    <w:p>
      <w:r>
        <w:t>The driver deposition transcript is currently held up with the court reporter, not opposing counsel, and there is no privilege issue in the delay itself. But that transcript is blocking both the deposition summary and the meal-break exposure memo we need ahead of the exposure discussion. Practically, that means we are being asked to finalize RIF-adjacent decisions without the underlying record that would tell us how exposed we are and which drivers' testimony is most sensitive. Petra has been asked to get a firm ETA from the court reporter and pass it to Noor for planning purposes. As of this update, that ETA still has not come back to us in writing, and reconciliation checks on the related tracking (per the exchange with Ulrich and Bennett confirming their figures are reconciled — the aging report review Ulrich flagged as clean does not touch this question) do not change that gap. Until the ETA is in hand, RIF planning should continue on the assumption that we do not yet have full visibility into claim-relevant driver testimony, and selection decisions should be built to withstand scrutiny regardless of what that transcript eventually shows.</w:t>
      </w:r>
    </w:p>
    <w:p>
      <w:pPr>
        <w:pStyle w:val="Heading2"/>
      </w:pPr>
      <w:r>
        <w:t>3. Selection-Criteria Risk if Timing Overlaps</w:t>
      </w:r>
    </w:p>
    <w:p>
      <w:r>
        <w:t>The specific risk is this: if RIF selection criteria — seniority, performance scoring, route consolidation, depot closures, whatever the mechanism — happen to correlate with who is named in, or who opted into, the meal-break collective action, we are exposed on three fronts simultaneously:</w:t>
      </w:r>
    </w:p>
    <w:p>
      <w:pPr>
        <w:pStyle w:val="ListNumber"/>
      </w:pPr>
      <w:r>
        <w:t>Retaliation. Any driver in the collective action who is selected for the RIF has a ready-made retaliation claim, and it doesn't matter that the criteria were facially neutral if the outcome maps onto claim participation.</w:t>
      </w:r>
    </w:p>
    <w:p>
      <w:pPr>
        <w:pStyle w:val="ListNumber"/>
      </w:pPr>
      <w:r>
        <w:t>Disparate impact on the underlying wage-and-hour theory. If the RIF disproportionately removes the drivers most likely to testify to the meal-break practice (long-tenure drivers on the routes at issue, for example), it can be read as an attempt to thin the witness pool — which is a spoliation-adjacent narrative even if that was never the intent.</w:t>
      </w:r>
    </w:p>
    <w:p>
      <w:pPr>
        <w:pStyle w:val="ListNumber"/>
      </w:pPr>
      <w:r>
        <w:t>Adverse impact under ordinary RIF analysis. Independent of the meal-break overlap, the selection pool itself needs the standard adverse-impact screen (age, protected class, etc.) before anyone is told anything. The Adverse Impact Screen and Headcount Review document already opened for this engagement is the right vehicle for that baseline analysis — the meal-break cross-check needs to run alongside it, not instead of it.</w:t>
      </w:r>
    </w:p>
    <w:p>
      <w:pPr>
        <w:pStyle w:val="Heading2"/>
      </w:pPr>
      <w:r>
        <w:t>4. What Needs to Happen Before Anything Is Finalized</w:t>
      </w:r>
    </w:p>
    <w:p>
      <w:pPr>
        <w:pStyle w:val="ListNumber"/>
      </w:pPr>
      <w:r>
        <w:t>Thursday 2pm cross-check call: this call has now taken place. No selection decision touching either flagged individual should be finalized until the outcome of that call is documented and circulated to Noor's team; if the cross-check surfaced any overlap with the collective action roster, that must be resolved through the secondary review below before either name moves forward in the RIF list. That documented outcome is the current gating item — nothing downstream should move until it is circulated.</w:t>
      </w:r>
    </w:p>
    <w:p>
      <w:pPr>
        <w:pStyle w:val="ListNumber"/>
      </w:pPr>
      <w:r>
        <w:t>Build a claim-status flag into the RIF selection worksheet — collective action named plaintiff, opt-in, deposed, or identified witness — so Noor's team can see the overlap before decisions are made, not after.</w:t>
      </w:r>
    </w:p>
    <w:p>
      <w:pPr>
        <w:pStyle w:val="ListNumber"/>
      </w:pPr>
      <w:r>
        <w:t>Hold any selection decision touching a flagged driver for a documented secondary review, separate from the standard adverse-impact screen, with sign-off logged.</w:t>
      </w:r>
    </w:p>
    <w:p>
      <w:pPr>
        <w:pStyle w:val="ListNumber"/>
      </w:pPr>
      <w:r>
        <w:t>Do not let the court-reporter delay become a reason to skip the cross-check. The transcript ETA has still not been confirmed as of this update, so we proceed on the flag-and-hold approach above rather than delay the whole RIF, but we do not finalize selections for anyone on the flagged list until the claim-status question is resolved.</w:t>
      </w:r>
    </w:p>
    <w:p>
      <w:pPr>
        <w:pStyle w:val="ListNumber"/>
      </w:pPr>
      <w:r>
        <w:t>Coordinate this analysis with the pending board briefing. Harriet is briefing the chair now, at summary level, on the separate Abioye investigation — that briefing is deliberately kept distinct from this RIF/meal-break overlap, and it should stay that way. The newly scheduled Investigation Lead Alignment Call is the right venue to keep the Abioye workstream on its own track; it should not be used to fold in RIF or meal-break status, and this memo should not be referenced in that call's materials. Separately, the urgent harassment complaint against a supervisor now being handled is its own matter entirely — no-admission approach confirmed with the client — and has no bearing on the driver population or the RIF list; it should not be cross-referenced here or in Noor's tracking. The two matters that do relate — Abioye and this RIF/meal-break overlap — are related only in that both involve the driver-facing workforce; conflating either of them, or the supervisor harassment matter, in any board communication or alignment call would be a mistake.</w:t>
      </w:r>
    </w:p>
    <w:p>
      <w:pPr>
        <w:pStyle w:val="Heading2"/>
      </w:pPr>
      <w:r>
        <w:t>5. Documentation</w:t>
      </w:r>
    </w:p>
    <w:p>
      <w:r>
        <w:t>Whatever selection methodology Noor's team ultimately uses, the rationale for each flagged individual's outcome needs to be written down contemporaneously — not reconstructed later if the collective action expands or someone files a retaliation charge. Silence on why a claim-participant driver was or wasn't selected is worse than any answer we could give at the time. This now includes a written record of the outcome of the Thursday 2pm cross-check call — that call has now happened, and the record of it, logged the same day it occurred rather than summarized after the fact, is the immediate next document we need in hand.</w:t>
      </w:r>
    </w:p>
    <w:p>
      <w:r>
        <w:t>Call me if easier.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