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Sable Ridge Logistics Meal-Break/Wage-Hour Matter</w:t>
      </w:r>
    </w:p>
    <w:p>
      <w:r>
        <w:t>From: Jamal Okonkwo, Counsel, Employment</w:t>
      </w:r>
    </w:p>
    <w:p>
      <w:r>
        <w:t>Re: Exempt Classification Comparison — Dispatch/Coordinator Roles Against Driver Class</w:t>
      </w:r>
    </w:p>
    <w:p>
      <w:r>
        <w:t>Status: Draft for internal review. This memo incorporates Petra Kovacs's file note on the comparison analysis. It is not a final position and should not be circulated outside the team.</w:t>
      </w:r>
    </w:p>
    <w:p>
      <w:pPr>
        <w:pStyle w:val="Heading2"/>
      </w:pPr>
      <w:r>
        <w:t>I. Purpose and Scope</w:t>
      </w:r>
    </w:p>
    <w:p>
      <w:r>
        <w:t>This memo compares the exemption analysis applicable to the dispatch/coordinator roles against the driver classification already at issue in the meal-break collective action, in order to assess whether any dispatch/coordinator employees present independent misclassification exposure or, conversely, provide a useful contrast that sharpens our position on the driver claims. It draws on Petra Kovacs's file note flagging the comparison analysis as a discrete, separately trackable workstream from the core Position Statement.</w:t>
      </w:r>
    </w:p>
    <w:p>
      <w:pPr>
        <w:pStyle w:val="Heading2"/>
      </w:pPr>
      <w:r>
        <w:t>II. Bottom Line</w:t>
      </w:r>
    </w:p>
    <w:p>
      <w:r>
        <w:t>The dispatch/coordinator roles are arguably distinguishable from the driver class on the current record, but the distinction rests on job-duties evidence we have not yet finished assembling. I would not represent to opposing counsel or to the court that the comparison favors us until the outstanding record work described in Section III is closed out. The safer near-term posture is to keep the comparison analysis moving on its own track, as Petra's note recommends, rather than folding it into the Position Statement timeline.</w:t>
      </w:r>
    </w:p>
    <w:p>
      <w:pPr>
        <w:pStyle w:val="Heading2"/>
      </w:pPr>
      <w:r>
        <w:t>III. Record Status</w:t>
      </w:r>
    </w:p>
    <w:p>
      <w:pPr>
        <w:pStyle w:val="Heading3"/>
      </w:pPr>
      <w:r>
        <w:t>III.A Record Citations</w:t>
      </w:r>
    </w:p>
    <w:p>
      <w:r>
        <w:t>Placeholder. No new record citations have arrived as of this draft. This section cannot be completed until outside input is received.</w:t>
      </w:r>
    </w:p>
    <w:p>
      <w:pPr>
        <w:pStyle w:val="Heading3"/>
      </w:pPr>
      <w:r>
        <w:t>III.B Case Pull</w:t>
      </w:r>
    </w:p>
    <w:p>
      <w:r>
        <w:t>Placeholder. The case pull supporting the exemption comparison is still outstanding. No authority is cited here that has not been independently verified, and none has been fabricated to fill the gap.</w:t>
      </w:r>
    </w:p>
    <w:p>
      <w:pPr>
        <w:pStyle w:val="Heading2"/>
      </w:pPr>
      <w:r>
        <w:t>IV. Comparison Analysis</w:t>
      </w:r>
    </w:p>
    <w:p>
      <w:r>
        <w:t>Placeholder pending the record citations and case pull in Section III. Once available, this section will set out the duties-based comparison between dispatch/coordinator responsibilities and the driver role, and will state directly whether the comparison helps, hurts, or is neutral to our position on the driver claims.</w:t>
      </w:r>
    </w:p>
    <w:p>
      <w:pPr>
        <w:pStyle w:val="Heading2"/>
      </w:pPr>
      <w:r>
        <w:t>V. Relationship to the Sable Ridge Position Statement</w:t>
      </w:r>
    </w:p>
    <w:p>
      <w:r>
        <w:t>The comparison analysis is unrelated to the witness/exhibit cross-check that was resolved and sign-off memorialized in the finalized Position Statement (doc-000129). It is also unrelated to the terminal-instructions and ELD-interruption items resolved in doc-000233. Those two items are closed on the record described in this file; this comparison analysis is a separate, still-open workstream and should not be treated as blocking, or blocked by, finalization of the Position Statement.</w:t>
      </w:r>
    </w:p>
    <w:p>
      <w:pPr>
        <w:pStyle w:val="Heading2"/>
      </w:pPr>
      <w:r>
        <w:t>VI. Deadline and Next Steps</w:t>
      </w:r>
    </w:p>
    <w:p>
      <w:r>
        <w:t>The confirmed reply deadline is a week from Monday. Given that Sections III.A, III.B, and IV remain placeholders pending outside input, meeting that deadline requires the record citations, case pull, and transcript excerpts to arrive with enough lead time to draft the comparison substantively rather than provisionally.</w:t>
      </w:r>
    </w:p>
    <w:p>
      <w:pPr>
        <w:pStyle w:val="ListNumber"/>
      </w:pPr>
      <w:r>
        <w:t>Obtain outstanding record citations and transcript excerpts (owner: outside input, per Petra's note — no committed date yet).</w:t>
      </w:r>
    </w:p>
    <w:p>
      <w:pPr>
        <w:pStyle w:val="ListNumber"/>
      </w:pPr>
      <w:r>
        <w:t>Complete the case pull supporting the exemption comparison.</w:t>
      </w:r>
    </w:p>
    <w:p>
      <w:pPr>
        <w:pStyle w:val="ListNumber"/>
      </w:pPr>
      <w:r>
        <w:t>Draft Sections III.A, III.B, and IV once the above are in hand.</w:t>
      </w:r>
    </w:p>
    <w:p>
      <w:pPr>
        <w:pStyle w:val="ListNumber"/>
      </w:pPr>
      <w:r>
        <w:t>Reassess whether the comparison analysis affects the finalized Position Statement's Section 5/6 language; on the current record it does not.</w:t>
      </w:r>
    </w:p>
    <w:p>
      <w:pPr>
        <w:pStyle w:val="ListNumber"/>
      </w:pPr>
      <w:r>
        <w:t>Maintain status updates on this workstream at substantive-change-only cadence, consistent with the approach adopted for Sable Ridge generally per Bennett's flag, rather than routine periodic updates.</w:t>
      </w:r>
    </w:p>
    <w:p>
      <w:pPr>
        <w:pStyle w:val="Heading2"/>
      </w:pPr>
      <w:r>
        <w:t>VII. Caveat</w:t>
      </w:r>
    </w:p>
    <w:p>
      <w:r>
        <w:t>This memo does not fabricate or infer record content, case authority, or transcript material that has not actually been received. Where the analysis is incomplete, this memo says so directly rather than papering over the gap with hedged language dressed up as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