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Sable Ridge Partners – Devane Harassment Investigation</w:t>
      </w:r>
    </w:p>
    <w:p>
      <w:pPr>
        <w:pStyle w:val="Heading2"/>
      </w:pPr>
      <w:r>
        <w:t>Investigation Memorandum (Draft for Internal Review)</w:t>
      </w:r>
    </w:p>
    <w:p>
      <w:r>
        <w:t>PRIVILEGED AND CONFIDENTIAL — ATTORNEY WORK PRODUCT</w:t>
      </w:r>
    </w:p>
    <w:p>
      <w:r>
        <w:t>To: File</w:t>
      </w:r>
    </w:p>
    <w:p>
      <w:r>
        <w:t>From: Petra Kovacs, Associate</w:t>
      </w:r>
    </w:p>
    <w:p>
      <w:r>
        <w:t>Re: Investigation into complaint by J. Devane against R. Alsbrook, Regional Operations Manager</w:t>
      </w:r>
    </w:p>
    <w:p>
      <w:pPr>
        <w:pStyle w:val="Heading2"/>
      </w:pPr>
      <w:r>
        <w:t>I. Scope and Assignment</w:t>
      </w:r>
    </w:p>
    <w:p>
      <w:r>
        <w:t>This memorandum documents the status of the investigation into a complaint of harassment raised by J. Devane against R. Alsbrook. It follows the employment practice huddle held this morning to confirm action item assignments and next steps. For the file: this memo reflects facts and allegations gathered to date and separates confirmed facts from allegations that remain to be corroborated.</w:t>
      </w:r>
    </w:p>
    <w:p>
      <w:pPr>
        <w:pStyle w:val="Heading2"/>
      </w:pPr>
      <w:r>
        <w:t>II. Allegations Summary (Unverified)</w:t>
      </w:r>
    </w:p>
    <w:p>
      <w:pPr>
        <w:pStyle w:val="ListNumber"/>
      </w:pPr>
      <w:r>
        <w:t>Devane alleges a pattern of unwelcome comments by Alsbrook beginning approximately four months ago.</w:t>
      </w:r>
    </w:p>
    <w:p>
      <w:pPr>
        <w:pStyle w:val="ListNumber"/>
      </w:pPr>
      <w:r>
        <w:t>Devane alleges a specific incident at an off-site regional meeting where Alsbrook made a remark she found demeaning and sexually charged in front of two colleagues.</w:t>
      </w:r>
    </w:p>
    <w:p>
      <w:pPr>
        <w:pStyle w:val="ListNumber"/>
      </w:pPr>
      <w:r>
        <w:t>Devane alleges she reported discomfort informally to her direct supervisor and that no action was taken.</w:t>
      </w:r>
    </w:p>
    <w:p>
      <w:pPr>
        <w:pStyle w:val="ListNumber"/>
      </w:pPr>
      <w:r>
        <w:t>Devane alleges a subsequent change in her shift assignments that she believes was retaliatory.</w:t>
      </w:r>
    </w:p>
    <w:p>
      <w:r>
        <w:t>These are allegations only. None has been corroborated at this stage. They are recorded here as reported by the complainant to preserve an accurate record for the file.</w:t>
      </w:r>
    </w:p>
    <w:p>
      <w:pPr>
        <w:pStyle w:val="Heading2"/>
      </w:pPr>
      <w:r>
        <w:t>III. Action Items Confirmed at Huddle</w:t>
      </w:r>
    </w:p>
    <w:tbl>
      <w:tblPr>
        <w:tblW w:type="auto" w:w="0"/>
        <w:tblLook w:firstColumn="1" w:firstRow="1" w:lastColumn="0" w:lastRow="0" w:noHBand="0" w:noVBand="1" w:val="04A0"/>
      </w:tblPr>
      <w:tblGrid>
        <w:gridCol w:w="2160"/>
        <w:gridCol w:w="2160"/>
        <w:gridCol w:w="2160"/>
        <w:gridCol w:w="2160"/>
      </w:tblGrid>
      <w:tr>
        <w:tc>
          <w:tcPr>
            <w:tcW w:type="dxa" w:w="2160"/>
          </w:tcPr>
          <w:p>
            <w:r>
              <w:t>Action Item</w:t>
            </w:r>
          </w:p>
        </w:tc>
        <w:tc>
          <w:tcPr>
            <w:tcW w:type="dxa" w:w="2160"/>
          </w:tcPr>
          <w:p>
            <w:r>
              <w:t>Owner</w:t>
            </w:r>
          </w:p>
        </w:tc>
        <w:tc>
          <w:tcPr>
            <w:tcW w:type="dxa" w:w="2160"/>
          </w:tcPr>
          <w:p>
            <w:r>
              <w:t>Target Date</w:t>
            </w:r>
          </w:p>
        </w:tc>
        <w:tc>
          <w:tcPr>
            <w:tcW w:type="dxa" w:w="2160"/>
          </w:tcPr>
          <w:p>
            <w:r>
              <w:t>Status</w:t>
            </w:r>
          </w:p>
        </w:tc>
      </w:tr>
      <w:tr>
        <w:tc>
          <w:tcPr>
            <w:tcW w:type="dxa" w:w="2160"/>
          </w:tcPr>
          <w:p>
            <w:r>
              <w:t>Schedule interview with Devane (complainant)</w:t>
            </w:r>
          </w:p>
        </w:tc>
        <w:tc>
          <w:tcPr>
            <w:tcW w:type="dxa" w:w="2160"/>
          </w:tcPr>
          <w:p>
            <w:r>
              <w:t>Kovacs</w:t>
            </w:r>
          </w:p>
        </w:tc>
        <w:tc>
          <w:tcPr>
            <w:tcW w:type="dxa" w:w="2160"/>
          </w:tcPr>
          <w:p>
            <w:r>
              <w:t>This week</w:t>
            </w:r>
          </w:p>
        </w:tc>
        <w:tc>
          <w:tcPr>
            <w:tcW w:type="dxa" w:w="2160"/>
          </w:tcPr>
          <w:p>
            <w:r>
              <w:t>Scheduling</w:t>
            </w:r>
          </w:p>
        </w:tc>
      </w:tr>
      <w:tr>
        <w:tc>
          <w:tcPr>
            <w:tcW w:type="dxa" w:w="2160"/>
          </w:tcPr>
          <w:p>
            <w:r>
              <w:t>Schedule interview with Alsbrook (respondent)</w:t>
            </w:r>
          </w:p>
        </w:tc>
        <w:tc>
          <w:tcPr>
            <w:tcW w:type="dxa" w:w="2160"/>
          </w:tcPr>
          <w:p>
            <w:r>
              <w:t>Kovacs</w:t>
            </w:r>
          </w:p>
        </w:tc>
        <w:tc>
          <w:tcPr>
            <w:tcW w:type="dxa" w:w="2160"/>
          </w:tcPr>
          <w:p>
            <w:r>
              <w:t>Following complainant interview</w:t>
            </w:r>
          </w:p>
        </w:tc>
        <w:tc>
          <w:tcPr>
            <w:tcW w:type="dxa" w:w="2160"/>
          </w:tcPr>
          <w:p>
            <w:r>
              <w:t>Not started</w:t>
            </w:r>
          </w:p>
        </w:tc>
      </w:tr>
      <w:tr>
        <w:tc>
          <w:tcPr>
            <w:tcW w:type="dxa" w:w="2160"/>
          </w:tcPr>
          <w:p>
            <w:r>
              <w:t>Identify and interview witnesses from off-site meeting</w:t>
            </w:r>
          </w:p>
        </w:tc>
        <w:tc>
          <w:tcPr>
            <w:tcW w:type="dxa" w:w="2160"/>
          </w:tcPr>
          <w:p>
            <w:r>
              <w:t>Kovacs</w:t>
            </w:r>
          </w:p>
        </w:tc>
        <w:tc>
          <w:tcPr>
            <w:tcW w:type="dxa" w:w="2160"/>
          </w:tcPr>
          <w:p>
            <w:r>
              <w:t>Within 10 days</w:t>
            </w:r>
          </w:p>
        </w:tc>
        <w:tc>
          <w:tcPr>
            <w:tcW w:type="dxa" w:w="2160"/>
          </w:tcPr>
          <w:p>
            <w:r>
              <w:t>Identifying witnesses</w:t>
            </w:r>
          </w:p>
        </w:tc>
      </w:tr>
      <w:tr>
        <w:tc>
          <w:tcPr>
            <w:tcW w:type="dxa" w:w="2160"/>
          </w:tcPr>
          <w:p>
            <w:r>
              <w:t>Pull shift-assignment records for Devane, 6-month lookback</w:t>
            </w:r>
          </w:p>
        </w:tc>
        <w:tc>
          <w:tcPr>
            <w:tcW w:type="dxa" w:w="2160"/>
          </w:tcPr>
          <w:p>
            <w:r>
              <w:t>Practice support</w:t>
            </w:r>
          </w:p>
        </w:tc>
        <w:tc>
          <w:tcPr>
            <w:tcW w:type="dxa" w:w="2160"/>
          </w:tcPr>
          <w:p>
            <w:r>
              <w:t>This week</w:t>
            </w:r>
          </w:p>
        </w:tc>
        <w:tc>
          <w:tcPr>
            <w:tcW w:type="dxa" w:w="2160"/>
          </w:tcPr>
          <w:p>
            <w:r>
              <w:t>Requested</w:t>
            </w:r>
          </w:p>
        </w:tc>
      </w:tr>
      <w:tr>
        <w:tc>
          <w:tcPr>
            <w:tcW w:type="dxa" w:w="2160"/>
          </w:tcPr>
          <w:p>
            <w:r>
              <w:t>Review supervisor's contemporaneous notes, if any</w:t>
            </w:r>
          </w:p>
        </w:tc>
        <w:tc>
          <w:tcPr>
            <w:tcW w:type="dxa" w:w="2160"/>
          </w:tcPr>
          <w:p>
            <w:r>
              <w:t>Kovacs</w:t>
            </w:r>
          </w:p>
        </w:tc>
        <w:tc>
          <w:tcPr>
            <w:tcW w:type="dxa" w:w="2160"/>
          </w:tcPr>
          <w:p>
            <w:r>
              <w:t>This week</w:t>
            </w:r>
          </w:p>
        </w:tc>
        <w:tc>
          <w:tcPr>
            <w:tcW w:type="dxa" w:w="2160"/>
          </w:tcPr>
          <w:p>
            <w:r>
              <w:t>Requested from HR</w:t>
            </w:r>
          </w:p>
        </w:tc>
      </w:tr>
      <w:tr>
        <w:tc>
          <w:tcPr>
            <w:tcW w:type="dxa" w:w="2160"/>
          </w:tcPr>
          <w:p>
            <w:r>
              <w:t>Draft interview question outlines</w:t>
            </w:r>
          </w:p>
        </w:tc>
        <w:tc>
          <w:tcPr>
            <w:tcW w:type="dxa" w:w="2160"/>
          </w:tcPr>
          <w:p>
            <w:r>
              <w:t>Kovacs</w:t>
            </w:r>
          </w:p>
        </w:tc>
        <w:tc>
          <w:tcPr>
            <w:tcW w:type="dxa" w:w="2160"/>
          </w:tcPr>
          <w:p>
            <w:r>
              <w:t>Before first interview</w:t>
            </w:r>
          </w:p>
        </w:tc>
        <w:tc>
          <w:tcPr>
            <w:tcW w:type="dxa" w:w="2160"/>
          </w:tcPr>
          <w:p>
            <w:r>
              <w:t>In progress</w:t>
            </w:r>
          </w:p>
        </w:tc>
      </w:tr>
    </w:tbl>
    <w:p>
      <w:pPr>
        <w:pStyle w:val="Heading2"/>
      </w:pPr>
      <w:r>
        <w:t>IV. Interview Sequencing and Approach</w:t>
      </w:r>
    </w:p>
    <w:p>
      <w:r>
        <w:t>Consistent with standard investigation protocol, the complainant will be interviewed first to obtain a full and detailed account, followed by identified witnesses, with the respondent interviewed last so that all available factual context is in hand before Alsbrook responds. Each interview will be documented in a separate memorandum to the file, with facts and allegations kept distinct throughout.</w:t>
      </w:r>
    </w:p>
    <w:p>
      <w:pPr>
        <w:pStyle w:val="Heading2"/>
      </w:pPr>
      <w:r>
        <w:t>V. Preservation and Document Collection</w:t>
      </w:r>
    </w:p>
    <w:p>
      <w:pPr>
        <w:pStyle w:val="ListBullet"/>
      </w:pPr>
      <w:r>
        <w:t>Shift-assignment and scheduling records for the relevant period</w:t>
      </w:r>
    </w:p>
    <w:p>
      <w:pPr>
        <w:pStyle w:val="ListBullet"/>
      </w:pPr>
      <w:r>
        <w:t>Any HR intake notes or informal complaint records</w:t>
      </w:r>
    </w:p>
    <w:p>
      <w:pPr>
        <w:pStyle w:val="ListBullet"/>
      </w:pPr>
      <w:r>
        <w:t>Email and messaging communications between Devane, Alsbrong, and the direct supervisor</w:t>
      </w:r>
    </w:p>
    <w:p>
      <w:pPr>
        <w:pStyle w:val="ListBullet"/>
      </w:pPr>
      <w:r>
        <w:t>Off-site meeting attendance list and any related expense or itinerary records confirming attendees</w:t>
      </w:r>
    </w:p>
    <w:p>
      <w:pPr>
        <w:pStyle w:val="Heading2"/>
      </w:pPr>
      <w:r>
        <w:t>VI. Open Questions for Next Huddle</w:t>
      </w:r>
    </w:p>
    <w:p>
      <w:pPr>
        <w:pStyle w:val="ListNumber"/>
      </w:pPr>
      <w:r>
        <w:t>Whether the direct supervisor's alleged inaction should itself be treated as a separate line of inquiry.</w:t>
      </w:r>
    </w:p>
    <w:p>
      <w:pPr>
        <w:pStyle w:val="ListNumber"/>
      </w:pPr>
      <w:r>
        <w:t>Whether the shift change has an independent, documented business justification.</w:t>
      </w:r>
    </w:p>
    <w:p>
      <w:pPr>
        <w:pStyle w:val="ListNumber"/>
      </w:pPr>
      <w:r>
        <w:t>Timeline for interim measures, if any, pending completion of the investigation.</w:t>
      </w:r>
    </w:p>
    <w:p>
      <w:r>
        <w:t>This memorandum will be updated following each interview. For the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