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Sable Ridge Transportation Litigation Team</w:t>
      </w:r>
    </w:p>
    <w:p>
      <w:r>
        <w:t>From: Hyun-woo Bae, Senior Associate</w:t>
      </w:r>
    </w:p>
    <w:p>
      <w:r>
        <w:t>Re: Completion of Unassigned Cite-Check/Declaration Pull Package (Flagged by Rosalie)</w:t>
      </w:r>
    </w:p>
    <w:p>
      <w:pPr>
        <w:pStyle w:val="Heading2"/>
      </w:pPr>
      <w:r>
        <w:t>Summary</w:t>
      </w:r>
    </w:p>
    <w:p>
      <w:pPr>
        <w:pStyle w:val="ListNumber"/>
      </w:pPr>
      <w:r>
        <w:t>Rosalie flagged an unassigned cite-check and declaration pull package that had gone unowned since Monday. I confirmed this was distinct from my own Sable Ridge cite-check piece, which had already closed out.</w:t>
      </w:r>
    </w:p>
    <w:p>
      <w:pPr>
        <w:pStyle w:val="ListNumber"/>
      </w:pPr>
      <w:r>
        <w:t>I agreed to take on the unassigned item because the review framework was largely in place and completing it did not require rebuilding process from scratch.</w:t>
      </w:r>
    </w:p>
    <w:p>
      <w:pPr>
        <w:pStyle w:val="ListNumber"/>
      </w:pPr>
      <w:r>
        <w:t>This memo documents that the item is now complete, describes the work performed, and confirms the package is locked with no further action required.</w:t>
      </w:r>
    </w:p>
    <w:p>
      <w:pPr>
        <w:pStyle w:val="Heading2"/>
      </w:pPr>
      <w:r>
        <w:t>Background</w:t>
      </w:r>
    </w:p>
    <w:p>
      <w:r>
        <w:t>On review of open items, Rosalie identified a cite-check/declaration pull package that had no assigned owner since the start of the week. I clarified for the team that this package was separate from the Sable Ridge cite-check work I had already completed and closed out — the two had been at risk of being conflated given the overlapping subject matter. Once the distinction was confirmed, I took ownership of the unassigned item, since the underlying review framework (citation format conventions, declaration source list, and pull sequencing) had already been established on the related matter and did not need to be rebuilt.</w:t>
      </w:r>
    </w:p>
    <w:p>
      <w:pPr>
        <w:pStyle w:val="Heading2"/>
      </w:pPr>
      <w:r>
        <w:t>Work Performed</w:t>
      </w:r>
    </w:p>
    <w:p>
      <w:pPr>
        <w:pStyle w:val="ListNumber"/>
      </w:pPr>
      <w:r>
        <w:t>Applied the existing cite-check framework to the unassigned package, verifying case and record citations against the source documents identified for pull.</w:t>
      </w:r>
    </w:p>
    <w:p>
      <w:pPr>
        <w:pStyle w:val="ListNumber"/>
      </w:pPr>
      <w:r>
        <w:t>Completed the declaration pull, matching each cited factual assertion to its supporting declaration paragraph and confirming no gaps remained between assertion and source.</w:t>
      </w:r>
    </w:p>
    <w:p>
      <w:pPr>
        <w:pStyle w:val="ListNumber"/>
      </w:pPr>
      <w:r>
        <w:t>Cross-checked the completed package against the closed-out Sable Ridge cite-check piece to confirm no overlap or duplication existed between the two, consistent with my earlier clarification to Rosalie.</w:t>
      </w:r>
    </w:p>
    <w:p>
      <w:pPr>
        <w:pStyle w:val="ListNumber"/>
      </w:pPr>
      <w:r>
        <w:t>Locked the package upon completion to prevent further edits pending any downstream use by the team.</w:t>
      </w:r>
    </w:p>
    <w:p>
      <w:pPr>
        <w:pStyle w:val="Heading2"/>
      </w:pPr>
      <w:r>
        <w:t>Status and Disposition</w:t>
      </w:r>
    </w:p>
    <w:p>
      <w:pPr>
        <w:pStyle w:val="ListNumber"/>
      </w:pPr>
      <w:r>
        <w:t>The unassigned cite-check/declaration pull package is complete, locked, and fully closed out.</w:t>
      </w:r>
    </w:p>
    <w:p>
      <w:pPr>
        <w:pStyle w:val="ListNumber"/>
      </w:pPr>
      <w:r>
        <w:t>No open issues remain on this item, and no escalation is warranted.</w:t>
      </w:r>
    </w:p>
    <w:p>
      <w:pPr>
        <w:pStyle w:val="ListNumber"/>
      </w:pPr>
      <w:r>
        <w:t>This closes the item Rosalie originally flagged; no further action is required on my end absent a new request.</w:t>
      </w:r>
    </w:p>
    <w:p>
      <w:pPr>
        <w:pStyle w:val="Heading2"/>
      </w:pPr>
      <w:r>
        <w:t>Note on Related Items</w:t>
      </w:r>
    </w:p>
    <w:p>
      <w:r>
        <w:t>This package is unrelated to the Sable Ridge document review tracker maintenance (Ex. 17 resolution, B-005 meal-break batch logging) or to the privilege log maintenance for custodian-interview items, both of which are tracked and current as of this week's review. It is documented separately here at Rosalie's original flag and per the team's practice of logging substantive completions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