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Escalation Recommendation: Sable Ridge Related-Party Conflicts Finding</w:t>
      </w:r>
    </w:p>
    <w:p>
      <w:r>
        <w:t>Conclusion: The better view is that this finding warrants referral to the conflicts committee, not summary resolution at the working-group level. The related-party disclosure identified in the finalized conflicts check memorandum presents facts sufficient to raise a colorable question under the firm's conflicts rules, and the underlying relationship is not one this office can clear on its own authority. Referral should occur promptly, and the matter should be treated as provisionally paused pending committee input.</w:t>
      </w:r>
    </w:p>
    <w:p>
      <w:pPr>
        <w:pStyle w:val="Heading2"/>
      </w:pPr>
      <w:r>
        <w:t>I. Basis for This Recommendation</w:t>
      </w:r>
    </w:p>
    <w:p>
      <w:r>
        <w:t>This recommendation builds directly on the finalized Conflicts Check Memorandum — Sable Ridge (Related Party Disclosure). That memorandum identified a related-party relationship connected to the Sable Ridge matter that was not disclosed at intake and that surfaced only during the conflicts review process. The memorandum's finding, standing alone, is a factual determination; it does not resolve whether the relationship rises to the level of an actual, potential, or perceived conflict requiring committee-level judgment. That determination is the subject of this recommendation.</w:t>
      </w:r>
    </w:p>
    <w:p>
      <w:pPr>
        <w:pStyle w:val="Heading2"/>
      </w:pPr>
      <w:r>
        <w:t>II. Why Working-Group Resolution Is Not Appropriate Here</w:t>
      </w:r>
    </w:p>
    <w:p>
      <w:pPr>
        <w:pStyle w:val="ListNumber"/>
      </w:pPr>
      <w:r>
        <w:t>The relationship identified is related-party in nature rather than a simple prior-representation overlap, which is the category of finding the firm's conflicts policy commits to committee review rather than associate or senior-associate sign-off.</w:t>
      </w:r>
    </w:p>
    <w:p>
      <w:pPr>
        <w:pStyle w:val="ListNumber"/>
      </w:pPr>
      <w:r>
        <w:t>The finding was surfaced during an active, ongoing engagement rather than at intake, which raises timing considerations (informed consent, continued representation, disclosure obligations to the client) that are properly a committee determination rather than a unilateral one.</w:t>
      </w:r>
    </w:p>
    <w:p>
      <w:pPr>
        <w:pStyle w:val="ListNumber"/>
      </w:pPr>
      <w:r>
        <w:t>Sable Ridge scope and status remain unresolved as a threshold matter — this was flagged to Thandiwe as blocking planning — and escalation now avoids compounding an open scope question with an open conflicts question.</w:t>
      </w:r>
    </w:p>
    <w:p>
      <w:pPr>
        <w:pStyle w:val="Heading2"/>
      </w:pPr>
      <w:r>
        <w:t>III. Recommendation</w:t>
      </w:r>
    </w:p>
    <w:p>
      <w:pPr>
        <w:pStyle w:val="ListNumber"/>
      </w:pPr>
      <w:r>
        <w:t>Refer the finding, together with the finalized conflicts check memorandum, to the conflicts committee for determination rather than resolving it within the working group.</w:t>
      </w:r>
    </w:p>
    <w:p>
      <w:pPr>
        <w:pStyle w:val="ListNumber"/>
      </w:pPr>
      <w:r>
        <w:t>Treat active work on Sable Ridge as paused pending the committee's determination, consistent with the firm's practice of not advancing matters through an unresolved related-party question.</w:t>
      </w:r>
    </w:p>
    <w:p>
      <w:pPr>
        <w:pStyle w:val="ListNumber"/>
      </w:pPr>
      <w:r>
        <w:t>Route the referral through the supervising partner rather than directly, so that partner sign-off accompanies the committee submission.</w:t>
      </w:r>
    </w:p>
    <w:p>
      <w:pPr>
        <w:pStyle w:val="ListNumber"/>
      </w:pPr>
      <w:r>
        <w:t>Do not fold this issue into unrelated process fixes (e.g., the docket-call note-taker rotation); it is a substantive conflicts matter and should be tracked and resolved on its own timeline.</w:t>
      </w:r>
    </w:p>
    <w:p>
      <w:pPr>
        <w:pStyle w:val="Heading2"/>
      </w:pPr>
      <w:r>
        <w:t>IV. Open Items Before Referral</w:t>
      </w:r>
    </w:p>
    <w:p>
      <w:pPr>
        <w:pStyle w:val="ListBullet"/>
      </w:pPr>
      <w:r>
        <w:t>Thandiwe's confirmation of Sable Ridge's current scope and status, requested and still outstanding — needed so the committee reviews the finding against an accurate picture of the engagement.</w:t>
      </w:r>
    </w:p>
    <w:p>
      <w:pPr>
        <w:pStyle w:val="ListBullet"/>
      </w:pPr>
      <w:r>
        <w:t>Supervising partner's concurrence on the recommendation to escalate, to be obtained before formal submission to the committee.</w:t>
      </w:r>
    </w:p>
    <w:p>
      <w:pPr>
        <w:pStyle w:val="Heading2"/>
      </w:pPr>
      <w:r>
        <w:t>V. Status as of Today's Conflicts Check Review Block</w:t>
      </w:r>
    </w:p>
    <w:p>
      <w:r>
        <w:t>This recommendation is being advanced during today's scheduled 13:00-14:00 conflicts check review block. Advancing it at this session means confirming the recommendation as drafted above and moving it toward supervising-partner concurrence and committee submission; it does not mean either open item in Section IV has yet been closed. Thandiwe's confirmation of Sable Ridge scope and status remains outstanding, and supervising partner concurrence has not yet been obtained. Both remain prerequisites to formal submission and are unaffected by this session's advancement of the recommendation itself.</w:t>
      </w:r>
    </w:p>
    <w:p>
      <w:r>
        <w:t>This recommendation reflects an assessment of the escalation question only. It does not reach, and should not be read to prejudge, the committee's ultimate determination on whether the relationship requires screening, informed consent, or withdrawal.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