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PRIVILEGED AND CONFIDENTIAL — ATTORNEY WORK PRODUCT</w:t>
      </w:r>
    </w:p>
    <w:tbl>
      <w:tblPr>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To</w:t>
            </w:r>
          </w:p>
        </w:tc>
        <w:tc>
          <w:tcPr>
            <w:tcW w:type="dxa" w:w="4320"/>
          </w:tcPr>
          <w:p>
            <w:r>
              <w:t>File — Sable Ridge / Devane Investigation</w:t>
            </w:r>
          </w:p>
        </w:tc>
      </w:tr>
      <w:tr>
        <w:tc>
          <w:tcPr>
            <w:tcW w:type="dxa" w:w="4320"/>
          </w:tcPr>
          <w:p>
            <w:r>
              <w:t>From</w:t>
            </w:r>
          </w:p>
        </w:tc>
        <w:tc>
          <w:tcPr>
            <w:tcW w:type="dxa" w:w="4320"/>
          </w:tcPr>
          <w:p>
            <w:r>
              <w:t>Petra Kovacs, Associate</w:t>
            </w:r>
          </w:p>
        </w:tc>
      </w:tr>
      <w:tr>
        <w:tc>
          <w:tcPr>
            <w:tcW w:type="dxa" w:w="4320"/>
          </w:tcPr>
          <w:p>
            <w:r>
              <w:t>Re</w:t>
            </w:r>
          </w:p>
        </w:tc>
        <w:tc>
          <w:tcPr>
            <w:tcW w:type="dxa" w:w="4320"/>
          </w:tcPr>
          <w:p>
            <w:r>
              <w:t>Status of Investigation, Outstanding Action Items, and Preliminary Choice-of-Law Analysis</w:t>
            </w:r>
          </w:p>
        </w:tc>
      </w:tr>
      <w:tr>
        <w:tc>
          <w:tcPr>
            <w:tcW w:type="dxa" w:w="4320"/>
          </w:tcPr>
          <w:p>
            <w:r>
              <w:t>Date</w:t>
            </w:r>
          </w:p>
        </w:tc>
        <w:tc>
          <w:tcPr>
            <w:tcW w:type="dxa" w:w="4320"/>
          </w:tcPr>
          <w:p>
            <w:r>
              <w:t>For the file</w:t>
            </w:r>
          </w:p>
        </w:tc>
      </w:tr>
    </w:tbl>
    <w:p>
      <w:pPr>
        <w:pStyle w:val="Heading2"/>
      </w:pPr>
      <w:r>
        <w:t>I. Purpose</w:t>
      </w:r>
    </w:p>
    <w:p>
      <w:r>
        <w:t>For the file. This memorandum documents the current status of the internal investigation into allegations raised by the complainant against Mr. Devane, summarizes outstanding action items following the practice huddle review, and sets out a preliminary choice-of-law analysis relevant to the claims at issue. This memorandum is a working document, not a final report, and remains subject to revision as additional witness interviews are completed. This update reflects progress since the practice huddle.</w:t>
      </w:r>
    </w:p>
    <w:p>
      <w:pPr>
        <w:pStyle w:val="Heading2"/>
      </w:pPr>
      <w:r>
        <w:t>II. Background and Procedural Status</w:t>
      </w:r>
    </w:p>
    <w:p>
      <w:r>
        <w:t>The investigation was opened following a complaint alleging a pattern of harassing conduct by Mr. Devane toward a subordinate employee over a period of approximately eight months. To date, the investigation team has conducted interviews of the complainant and two of three identified witnesses. HR has provided updated contact information for the third witness, and that interview has now been scheduled. Mr. Devane has been notified of the investigation but has not yet been interviewed; that interview is scheduled to occur once the third witness interview is complete, consistent with standard practice of interviewing the subject last.</w:t>
      </w:r>
    </w:p>
    <w:p>
      <w:pPr>
        <w:pStyle w:val="Heading2"/>
      </w:pPr>
      <w:r>
        <w:t>III. Facts Gathered To Date (Undisputed and Disputed)</w:t>
      </w:r>
    </w:p>
    <w:p>
      <w:r>
        <w:t>The following is organized to separate fact from allegation, as is our practice in matters of this kind.</w:t>
      </w:r>
    </w:p>
    <w:p>
      <w:pPr>
        <w:pStyle w:val="ListBullet"/>
      </w:pPr>
      <w:r>
        <w:t>Undisputed: Complainant and Mr. Devane worked on the same team and reported to the same manager during the relevant period.</w:t>
      </w:r>
    </w:p>
    <w:p>
      <w:pPr>
        <w:pStyle w:val="ListBullet"/>
      </w:pPr>
      <w:r>
        <w:t>Undisputed: Complainant submitted a written complaint on the date reflected in the intake log.</w:t>
      </w:r>
    </w:p>
    <w:p>
      <w:pPr>
        <w:pStyle w:val="ListBullet"/>
      </w:pPr>
      <w:r>
        <w:t>Alleged, corroborated by one witness: Complainant alleges repeated comments of a personal nature made by Mr. Devane during one-on-one meetings.</w:t>
      </w:r>
    </w:p>
    <w:p>
      <w:pPr>
        <w:pStyle w:val="ListBullet"/>
      </w:pPr>
      <w:r>
        <w:t>Alleged, uncorroborated to date: Complainant alleges a specific incident occurring after hours; the third witness identified for this incident has now been located, and interview is scheduled, but has not yet occurred.</w:t>
      </w:r>
    </w:p>
    <w:p>
      <w:pPr>
        <w:pStyle w:val="ListBullet"/>
      </w:pPr>
      <w:r>
        <w:t>Disputed: Mr. Devane's general characterization of the working relationship is unknown pending his interview.</w:t>
      </w:r>
    </w:p>
    <w:p>
      <w:pPr>
        <w:pStyle w:val="Heading2"/>
      </w:pPr>
      <w:r>
        <w:t>IV. Outstanding Action Items (from Practice Huddle Review)</w:t>
      </w:r>
    </w:p>
    <w:p>
      <w:pPr>
        <w:pStyle w:val="ListNumber"/>
      </w:pPr>
      <w:r>
        <w:t>Completed: Third witness located via updated HR contact information; interview scheduled.</w:t>
      </w:r>
    </w:p>
    <w:p>
      <w:pPr>
        <w:pStyle w:val="ListNumber"/>
      </w:pPr>
      <w:r>
        <w:t>Schedule and conduct subject interview of Mr. Devane following completion of the third witness interview; prepare interview outline in advance.</w:t>
      </w:r>
    </w:p>
    <w:p>
      <w:pPr>
        <w:pStyle w:val="ListNumber"/>
      </w:pPr>
      <w:r>
        <w:t>Completed: Obtained Mr. Devane's calendar and travel records for the period spanning the alleged after-hours incident; records are under review to confirm his location during the relevant period.</w:t>
      </w:r>
    </w:p>
    <w:p>
      <w:pPr>
        <w:pStyle w:val="ListNumber"/>
      </w:pPr>
      <w:r>
        <w:t>Completed: Confirmed complainant's employment file has been preserved, including prior performance reviews, in accordance with the litigation hold.</w:t>
      </w:r>
    </w:p>
    <w:p>
      <w:pPr>
        <w:pStyle w:val="ListNumber"/>
      </w:pPr>
      <w:r>
        <w:t>Choice-of-law analysis (see Section V) has been advanced; continue monitoring for confirmation of the exact number of days complainant spent in State B before finalizing.</w:t>
      </w:r>
    </w:p>
    <w:p>
      <w:pPr>
        <w:pStyle w:val="ListNumber"/>
      </w:pPr>
      <w:r>
        <w:t>Draft findings memorandum outline for partner review once subject interview is complete.</w:t>
      </w:r>
    </w:p>
    <w:p>
      <w:pPr>
        <w:pStyle w:val="Heading2"/>
      </w:pPr>
      <w:r>
        <w:t>V. Preliminary Choice-of-Law Analysis</w:t>
      </w:r>
    </w:p>
    <w:p>
      <w:r>
        <w:t>The complainant was hired and based in State A but was temporarily assigned to work from State B for approximately four months during the relevant period, including during the after-hours incident alleged in Section III above. Mr. Devane is based in State A. This raises a threshold question as to which state's harassment and retaliation statutes apply to conduct occurring, in part, in State B.</w:t>
      </w:r>
    </w:p>
    <w:p>
      <w:pPr>
        <w:pStyle w:val="ListBullet"/>
      </w:pPr>
      <w:r>
        <w:t>State A applies a 'most significant relationship' test that looks to the location of the employment relationship as a whole, weighing the place of hire, the place of primary work performance, and the location of supervisory reporting lines.</w:t>
      </w:r>
    </w:p>
    <w:p>
      <w:pPr>
        <w:pStyle w:val="ListBullet"/>
      </w:pPr>
      <w:r>
        <w:t>State B's anti-discrimination statute, by its terms, extends to conduct occurring within the state regardless of the complainant's state of primary employment, and several trial-level decisions in State B have applied it to visiting or temporarily-assigned employees.</w:t>
      </w:r>
    </w:p>
    <w:p>
      <w:pPr>
        <w:pStyle w:val="ListBullet"/>
      </w:pPr>
      <w:r>
        <w:t>Because the after-hours incident is alleged to have occurred while complainant was physically present in State B, there is a non-trivial argument that State B's statute applies to that incident even if State A law governs the balance of the relationship.</w:t>
      </w:r>
    </w:p>
    <w:p>
      <w:pPr>
        <w:pStyle w:val="ListBullet"/>
      </w:pPr>
      <w:r>
        <w:t>State B's statute carries a materially longer limitations period and a lower standard for punitive damages exposure than State A's, which increases the practical significance of this question for exposure assessment.</w:t>
      </w:r>
    </w:p>
    <w:p>
      <w:pPr>
        <w:pStyle w:val="ListBullet"/>
      </w:pPr>
      <w:r>
        <w:t>Mr. Devane's calendar and travel records, now received, are being cross-checked against the alleged dates of the after-hours incident to confirm complainant's and Mr. Devane's respective locations during that period, which bears directly on the choice-of-law question.</w:t>
      </w:r>
    </w:p>
    <w:p>
      <w:r>
        <w:t>Preliminary conclusion: pending final confirmation of the exact number of days complainant spent in State B (now being cross-referenced against the travel records obtained), the working assumption remains that both states' statutes should be treated as potentially applicable, with State B law governing the after-hours incident specifically. This should be revisited once the subject interview and remaining witness corroboration are complete, as the ultimate choice-of-law analysis may affect both litigation exposure and the scope of any remedial action recommended to the client.</w:t>
      </w:r>
    </w:p>
    <w:p>
      <w:pPr>
        <w:pStyle w:val="Heading2"/>
      </w:pPr>
      <w:r>
        <w:t>VI. Next Steps</w:t>
      </w:r>
    </w:p>
    <w:p>
      <w:r>
        <w:t>The investigation team will conduct the third witness interview, followed by the subject interview of Mr. Devane, and will reconvene thereafter to finalize findings. This memorandum will be superseded by the findings memorandum, which will require partner review before any conclusions are communicated to the client. For the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