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&amp;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Sable Ridge RIF Planning (Employment Team)</w:t>
            </w:r>
          </w:p>
        </w:tc>
      </w:tr>
      <w:tr>
        <w:tc>
          <w:tcPr>
            <w:tcW w:type="dxa" w:w="4320"/>
          </w:tcPr>
          <w:p>
            <w:r>
              <w:t>From</w:t>
            </w:r>
          </w:p>
        </w:tc>
        <w:tc>
          <w:tcPr>
            <w:tcW w:type="dxa" w:w="4320"/>
          </w:tcPr>
          <w:p>
            <w:r>
              <w:t>Fionnuala Doherty, Partner</w:t>
            </w:r>
          </w:p>
        </w:tc>
      </w:tr>
      <w:tr>
        <w:tc>
          <w:tcPr>
            <w:tcW w:type="dxa" w:w="4320"/>
          </w:tcPr>
          <w:p>
            <w:r>
              <w:t>Re</w:t>
            </w:r>
          </w:p>
        </w:tc>
        <w:tc>
          <w:tcPr>
            <w:tcW w:type="dxa" w:w="4320"/>
          </w:tcPr>
          <w:p>
            <w:r>
              <w:t>Supervisor Harassment Complaint — Clement Abioye</w:t>
            </w:r>
          </w:p>
        </w:tc>
      </w:tr>
      <w:tr>
        <w:tc>
          <w:tcPr>
            <w:tcW w:type="dxa" w:w="4320"/>
          </w:tcPr>
          <w:p>
            <w:r>
              <w:t>Date</w:t>
            </w:r>
          </w:p>
        </w:tc>
        <w:tc>
          <w:tcPr>
            <w:tcW w:type="dxa" w:w="4320"/>
          </w:tcPr>
          <w:p>
            <w:r>
              <w:t>Today</w:t>
            </w:r>
          </w:p>
        </w:tc>
      </w:tr>
    </w:tbl>
    <w:p>
      <w:pPr>
        <w:pStyle w:val="Heading2"/>
      </w:pPr>
      <w:r>
        <w:t>1. Purpose</w:t>
      </w:r>
    </w:p>
    <w:p>
      <w:r>
        <w:t>This memo tracks the investigation file for the harassment complaint made by Clement Abioye against his direct supervisor. It remains tracked separately from the meal-break collective action, as directed, because the facts, witnesses, and legal exposure are distinct and combining them risks contaminating both records.</w:t>
      </w:r>
    </w:p>
    <w:p>
      <w:pPr>
        <w:pStyle w:val="Heading2"/>
      </w:pPr>
      <w:r>
        <w:t>2. Complaint Summary</w:t>
      </w:r>
    </w:p>
    <w:p>
      <w:r>
        <w:t>Mr. Abioye reports that his supervisor made repeated comments about his personal life and appearance over several months, culminating in an incident he describes as an explicit threat tied to his upcoming performance review. He states he raised the issue informally with HR once before and was told to "let it go for now." His formal interview has now been conducted; this memo reflects both the original intake call and the substance of that statement.</w:t>
      </w:r>
    </w:p>
    <w:p>
      <w:pPr>
        <w:pStyle w:val="Heading2"/>
      </w:pPr>
      <w:r>
        <w:t>3. Status Update — Formal Interview Completed</w:t>
      </w:r>
    </w:p>
    <w:p>
      <w:r>
        <w:t>Mr. Abioye's formal interview took place following the intake described above. He confirmed the timeline and substance of the original complaint, provided additional detail on the specific dates of the alleged comments, and identified the earlier informal HR conversation as having occurred with a named HR contact. Follow-up email correspondence with Mr. Abioye since the interview has clarified two points: (1) the specific performance-review meeting he views as the triggering incident, and (2) his preference that any interim reporting-line change be handled without department-wide announcement. Both points are noted for the interview record and should inform how the supervisor's temporary reassignment is communicated.</w:t>
      </w:r>
    </w:p>
    <w:p>
      <w:pPr>
        <w:pStyle w:val="Heading2"/>
      </w:pPr>
      <w:r>
        <w:t>4. Immediate Steps Taken</w:t>
      </w:r>
    </w:p>
    <w:p>
      <w:pPr>
        <w:pStyle w:val="ListNumber"/>
      </w:pPr>
      <w:r>
        <w:t>Acknowledged receipt of the complaint to Mr. Abioye in writing within 24 hours.</w:t>
      </w:r>
    </w:p>
    <w:p>
      <w:pPr>
        <w:pStyle w:val="ListNumber"/>
      </w:pPr>
      <w:r>
        <w:t>Advised the client (HR Director) verbally that no retaliation of any kind may occur pending investigation, and confirmed this in writing.</w:t>
      </w:r>
    </w:p>
    <w:p>
      <w:pPr>
        <w:pStyle w:val="ListNumber"/>
      </w:pPr>
      <w:r>
        <w:t>Implemented a temporary reporting-line change for the supervisor during the investigation — framed as separation of parties, not discipline, and communicated discreetly per Mr. Abioye's stated preference.</w:t>
      </w:r>
    </w:p>
    <w:p>
      <w:pPr>
        <w:pStyle w:val="ListNumber"/>
      </w:pPr>
      <w:r>
        <w:t>Preserved the supervisor's and Mr. Abioye's email, Slack, and calendar records for the relevant period, plus performance review drafts.</w:t>
      </w:r>
    </w:p>
    <w:p>
      <w:pPr>
        <w:pStyle w:val="ListNumber"/>
      </w:pPr>
      <w:r>
        <w:t>Conducted Mr. Abioye's formal interview and identified, by name, the HR contact who received the earlier informal complaint.</w:t>
      </w:r>
    </w:p>
    <w:p>
      <w:pPr>
        <w:pStyle w:val="Heading2"/>
      </w:pPr>
      <w:r>
        <w:t>5. Open Items / Next Steps</w:t>
      </w:r>
    </w:p>
    <w:p>
      <w:pPr>
        <w:pStyle w:val="ListNumber"/>
      </w:pPr>
      <w:r>
        <w:t>Interview the supervisor now that Mr. Abioye's statement is complete.</w:t>
      </w:r>
    </w:p>
    <w:p>
      <w:pPr>
        <w:pStyle w:val="ListNumber"/>
      </w:pPr>
      <w:r>
        <w:t>Interview the HR contact who received the earlier informal complaint and build a standalone timeline of that prior report.</w:t>
      </w:r>
    </w:p>
    <w:p>
      <w:pPr>
        <w:pStyle w:val="ListNumber"/>
      </w:pPr>
      <w:r>
        <w:t>Pull the supervisor's prior review cycles for any pattern of similar complaints.</w:t>
      </w:r>
    </w:p>
    <w:p>
      <w:pPr>
        <w:pStyle w:val="ListNumber"/>
      </w:pPr>
      <w:r>
        <w:t>Confirm whether the performance review timing needs to be paused pending outcome — decision needed before the next review cycle date.</w:t>
      </w:r>
    </w:p>
    <w:p>
      <w:pPr>
        <w:pStyle w:val="ListNumber"/>
      </w:pPr>
      <w:r>
        <w:t>Draft witness list and document hold notice as separate workpapers now that custodian scope (Mr. Abioye, the supervisor, and the identified HR contact) is confirmed.</w:t>
      </w:r>
    </w:p>
    <w:p>
      <w:pPr>
        <w:pStyle w:val="ListNumber"/>
      </w:pPr>
      <w:r>
        <w:t>Coordinate with the team on what, if anything, is owed to the board regarding this matter — do not draft a board-facing response without sign-off, and keep any such response strictly free of cross-references to the meal-break collective action file.</w:t>
      </w:r>
    </w:p>
    <w:p>
      <w:pPr>
        <w:pStyle w:val="Heading2"/>
      </w:pPr>
      <w:r>
        <w:t>6. Handling Note</w:t>
      </w:r>
    </w:p>
    <w:p>
      <w:r>
        <w:t>This matter must stay procedurally separate from the meal-break collective action file even though both involve current Sable Ridge-adjacent personnel questions this month — do not cross-reference documents between the two matters without sign-off. Keep this file self-contained. This applies equally to any materials prepared in response to board inquiries about the complaint.</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