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Position Statement: Proposed Approach to the Sable Ridge Reduction in Force</w:t>
      </w:r>
    </w:p>
    <w:p>
      <w:r>
        <w:t>This memorandum sets out my proposed approach to the planned reduction in force at Sable Ridge. It covers selection criteria, notice obligations, and the steps I recommend to mitigate legal and reputational risk. This is a working document, intended to frame our call and to be revised as the client's plans firm up. Nothing in this memo should be treated as final guidance until we have talked through it together.</w:t>
      </w:r>
    </w:p>
    <w:p>
      <w:pPr>
        <w:pStyle w:val="Heading2"/>
      </w:pPr>
      <w:r>
        <w:t>1. Selection Criteria</w:t>
      </w:r>
    </w:p>
    <w:p>
      <w:r>
        <w:t>The single biggest source of RIF litigation risk is selection criteria that look neutral on paper but land unevenly in practice. I recommend the following approach before any names are finalized:</w:t>
      </w:r>
    </w:p>
    <w:p>
      <w:pPr>
        <w:pStyle w:val="ListNumber"/>
      </w:pPr>
      <w:r>
        <w:t>Define the business rationale first, in writing, before anyone is identified — the pool being reduced, the roles being eliminated, and why. This has to exist independent of any individual's performance.</w:t>
      </w:r>
    </w:p>
    <w:p>
      <w:pPr>
        <w:pStyle w:val="ListNumber"/>
      </w:pPr>
      <w:r>
        <w:t>Use objective, documented criteria wherever possible: role elimination, function consolidation, tenure, or documented performance ratings from a period predating any protected complaint or leave. Avoid criteria that rely on a manager's subjective, undocumented judgment.</w:t>
      </w:r>
    </w:p>
    <w:p>
      <w:pPr>
        <w:pStyle w:val="ListNumber"/>
      </w:pPr>
      <w:r>
        <w:t>Run an adverse impact analysis on the proposed list before it is communicated to anyone outside the core planning group — by age, sex, race, disability status, and any recent leave or accommodation history. If the numbers skew, we need to know before the list is final, not after someone's lawyer tells us. This analysis should be re-run against the final list immediately before notice, not only against an earlier draft.</w:t>
      </w:r>
    </w:p>
    <w:p>
      <w:pPr>
        <w:pStyle w:val="ListNumber"/>
      </w:pPr>
      <w:r>
        <w:t>Cross-check every name on the list against recent complaints, accommodation requests, leave usage, and whistleblower activity. A name on both lists is not automatically untouchable, but it needs a documented, defensible reason that exists apart from the protected activity, and that reason should be captured in writing at the time the name is proposed — not reconstructed later.</w:t>
      </w:r>
    </w:p>
    <w:p>
      <w:pPr>
        <w:pStyle w:val="ListNumber"/>
      </w:pPr>
      <w:r>
        <w:t>Keep the decision-making trail contemporaneous — who proposed each name, on what basis, and when. Retrofitted justifications are the easiest thing for opposing counsel to unravel.</w:t>
      </w:r>
    </w:p>
    <w:p>
      <w:pPr>
        <w:pStyle w:val="Heading2"/>
      </w:pPr>
      <w:r>
        <w:t>2. Notice Obligations</w:t>
      </w:r>
    </w:p>
    <w:p>
      <w:r>
        <w:t>Notice requirements depend on final headcount and locations, which we should confirm on our call, but the framework is:</w:t>
      </w:r>
    </w:p>
    <w:p>
      <w:pPr>
        <w:pStyle w:val="ListBullet"/>
      </w:pPr>
      <w:r>
        <w:t>WARN Act (and any applicable state mini-WARN statutes) analysis needs to happen as soon as we have a firm number and timeline — this determines whether 60 days' notice (or pay in lieu) is required, and state statutes can require more.</w:t>
      </w:r>
    </w:p>
    <w:p>
      <w:pPr>
        <w:pStyle w:val="ListBullet"/>
      </w:pPr>
      <w:r>
        <w:t>If the group affected is 40 or older and the RIF is a group termination, the Older Workers Benefit Protection Act requires specific disclosures in any severance agreement — the decisional unit, eligibility factors, job titles and ages of those selected and not selected, and a 45-day consideration period rather than the individual 21-day period.</w:t>
      </w:r>
    </w:p>
    <w:p>
      <w:pPr>
        <w:pStyle w:val="ListBullet"/>
      </w:pPr>
      <w:r>
        <w:t>Standard individual notice: written communication, severance terms if offered, benefits continuation information (COBRA), and a clear, documented delivery process — same-day, in person or by video, with HR present, never by email alone.</w:t>
      </w:r>
    </w:p>
    <w:p>
      <w:pPr>
        <w:pStyle w:val="ListBullet"/>
      </w:pPr>
      <w:r>
        <w:t>State-specific final pay rules vary and some require immediate payment of final wages on separation — this needs to be locked down per jurisdiction before notice goes out, not after.</w:t>
      </w:r>
    </w:p>
    <w:p>
      <w:pPr>
        <w:pStyle w:val="Heading2"/>
      </w:pPr>
      <w:r>
        <w:t>3. Risk Mitigation Steps</w:t>
      </w:r>
    </w:p>
    <w:p>
      <w:pPr>
        <w:pStyle w:val="ListNumber"/>
      </w:pPr>
      <w:r>
        <w:t>Legal review of the selection list before it is finalized — this is the single highest-leverage step and the one most often skipped under deadline pressure.</w:t>
      </w:r>
    </w:p>
    <w:p>
      <w:pPr>
        <w:pStyle w:val="ListNumber"/>
      </w:pPr>
      <w:r>
        <w:t>Severance agreements should include a knowing-and-voluntary waiver of claims, drafted to satisfy OWBPA where applicable, with the correct consideration period and revocation window.</w:t>
      </w:r>
    </w:p>
    <w:p>
      <w:pPr>
        <w:pStyle w:val="ListNumber"/>
      </w:pPr>
      <w:r>
        <w:t>Coordinate messaging across HR and managers so that the stated rationale is consistent — inconsistent explanations to different departing employees are a recurring feature of the RIF cases I have seen litigated.</w:t>
      </w:r>
    </w:p>
    <w:p>
      <w:pPr>
        <w:pStyle w:val="ListNumber"/>
      </w:pPr>
      <w:r>
        <w:t>Preserve all planning documents, spreadsheets, and email discussion of the selection process. Do not delete drafts of the list — a documented process that shows its reasoning is our best defense, and an incomplete record reads as concealment even when nothing was concealed.</w:t>
      </w:r>
    </w:p>
    <w:p>
      <w:pPr>
        <w:pStyle w:val="ListNumber"/>
      </w:pPr>
      <w:r>
        <w:t>If any employee on the list has an active complaint, accommodation request, or leave in progress, flag that name to me individually before notice — these require a specific, separate risk conversation. If any such complaint requires fact-finding beyond a documentary review — witness interviews, for example — that work should not begin until I issue a written direction of counsel opening the matter as a privileged investigation. Without that written direction in place first, the resulting report and interview notes are very likely discoverable, regardless of how the work is later characterized.</w:t>
      </w:r>
    </w:p>
    <w:p>
      <w:pPr>
        <w:pStyle w:val="ListNumber"/>
      </w:pPr>
      <w:r>
        <w:t>Plan for a unified communication to remaining staff, timed close to notice, to reduce speculation and protect morale — a RIF handled quietly rarely stays quiet, and the vacuum gets filled by whatever the departing employees say on their way out.</w:t>
      </w:r>
    </w:p>
    <w:p>
      <w:pPr>
        <w:pStyle w:val="Heading2"/>
      </w:pPr>
      <w:r>
        <w:t>Next Steps</w:t>
      </w:r>
    </w:p>
    <w:p>
      <w:r>
        <w:t>I'd like to walk through the proposed selection list, the current headcount and location breakdown for WARN purposes, and the client's target notice date on our call. Once we have those, I can finalize the WARN and OWBPA analysis and turn around a severance agreement template within a few days.</w:t>
      </w:r>
    </w:p>
    <w:p>
      <w:r>
        <w:t>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