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Re:</w:t>
            </w:r>
          </w:p>
        </w:tc>
        <w:tc>
          <w:tcPr>
            <w:tcW w:type="dxa" w:w="4320"/>
          </w:tcPr>
          <w:p>
            <w:r>
              <w:t>Sable Ridge – Driver Meal-Break Collective Action: Discovery Review Protocol</w:t>
            </w:r>
          </w:p>
        </w:tc>
      </w:tr>
      <w:tr>
        <w:tc>
          <w:tcPr>
            <w:tcW w:type="dxa" w:w="4320"/>
          </w:tcPr>
          <w:p>
            <w:r>
              <w:t>From:</w:t>
            </w:r>
          </w:p>
        </w:tc>
        <w:tc>
          <w:tcPr>
            <w:tcW w:type="dxa" w:w="4320"/>
          </w:tcPr>
          <w:p>
            <w:r>
              <w:t>Hyun-woo Bae, Senior Associate</w:t>
            </w:r>
          </w:p>
        </w:tc>
      </w:tr>
      <w:tr>
        <w:tc>
          <w:tcPr>
            <w:tcW w:type="dxa" w:w="4320"/>
          </w:tcPr>
          <w:p>
            <w:r>
              <w:t>Status:</w:t>
            </w:r>
          </w:p>
        </w:tc>
        <w:tc>
          <w:tcPr>
            <w:tcW w:type="dxa" w:w="4320"/>
          </w:tcPr>
          <w:p>
            <w:r>
              <w:t>Privilege log and custodian interviews closed; protocol effective immediately</w:t>
            </w:r>
          </w:p>
        </w:tc>
      </w:tr>
    </w:tbl>
    <w:p>
      <w:pPr>
        <w:pStyle w:val="Heading2"/>
      </w:pPr>
      <w:r>
        <w:t>Summary</w:t>
      </w:r>
    </w:p>
    <w:p>
      <w:pPr>
        <w:pStyle w:val="ListNumber"/>
      </w:pPr>
      <w:r>
        <w:t>Privilege log is fully resolved — both outstanding entries (Vasquez, Okafor) are marked Final, with no residual effect on reply brief assembly.</w:t>
      </w:r>
    </w:p>
    <w:p>
      <w:pPr>
        <w:pStyle w:val="ListNumber"/>
      </w:pPr>
      <w:r>
        <w:t>Custodian interviews are complete; custodian scope below is final, not provisional.</w:t>
      </w:r>
    </w:p>
    <w:p>
      <w:pPr>
        <w:pStyle w:val="ListNumber"/>
      </w:pPr>
      <w:r>
        <w:t>Ex. 17 (HR custodian declaration) is closed per Rosalie's decision to proceed without it — the related timeline point is being rebuilt from existing declarations rather than a new custodian declaration.</w:t>
      </w:r>
    </w:p>
    <w:p>
      <w:pPr>
        <w:pStyle w:val="ListNumber"/>
      </w:pPr>
      <w:r>
        <w:t>This memo sets the review protocol going forward: custodian scope, search terms, and workflow for the document population now that upstream open items are cleared.</w:t>
      </w:r>
    </w:p>
    <w:p>
      <w:pPr>
        <w:pStyle w:val="ListNumber"/>
      </w:pPr>
      <w:r>
        <w:t>This week's privilege log review (custodian-interview items) confirmed no new custodian-interview entries to add; existing entries and resolutions (Log Nos. 5 and 8) remain accurate and current, and custodian interview status is unchanged from Final/Verified as reflected in Section 1.</w:t>
      </w:r>
    </w:p>
    <w:p>
      <w:pPr>
        <w:pStyle w:val="Heading2"/>
      </w:pPr>
      <w:r>
        <w:t>1. Custodian Scope</w:t>
      </w:r>
    </w:p>
    <w:p>
      <w:r>
        <w:t>The custodian list below reflects the final set following completed custodian interviews. No additional custodians are anticipated absent a scope order from the court.</w:t>
      </w:r>
    </w:p>
    <w:tbl>
      <w:tblPr>
        <w:tblW w:type="auto" w:w="0"/>
        <w:tblLook w:firstColumn="1" w:firstRow="1" w:lastColumn="0" w:lastRow="0" w:noHBand="0" w:noVBand="1" w:val="04A0"/>
      </w:tblPr>
      <w:tblGrid>
        <w:gridCol w:w="2160"/>
        <w:gridCol w:w="2160"/>
        <w:gridCol w:w="2160"/>
        <w:gridCol w:w="2160"/>
      </w:tblGrid>
      <w:tr>
        <w:tc>
          <w:tcPr>
            <w:tcW w:type="dxa" w:w="2160"/>
          </w:tcPr>
          <w:p>
            <w:r>
              <w:t>Custodian</w:t>
            </w:r>
          </w:p>
        </w:tc>
        <w:tc>
          <w:tcPr>
            <w:tcW w:type="dxa" w:w="2160"/>
          </w:tcPr>
          <w:p>
            <w:r>
              <w:t>Role</w:t>
            </w:r>
          </w:p>
        </w:tc>
        <w:tc>
          <w:tcPr>
            <w:tcW w:type="dxa" w:w="2160"/>
          </w:tcPr>
          <w:p>
            <w:r>
              <w:t>Data Sources</w:t>
            </w:r>
          </w:p>
        </w:tc>
        <w:tc>
          <w:tcPr>
            <w:tcW w:type="dxa" w:w="2160"/>
          </w:tcPr>
          <w:p>
            <w:r>
              <w:t>Status</w:t>
            </w:r>
          </w:p>
        </w:tc>
      </w:tr>
      <w:tr>
        <w:tc>
          <w:tcPr>
            <w:tcW w:type="dxa" w:w="2160"/>
          </w:tcPr>
          <w:p>
            <w:r>
              <w:t>HR Custodian(s)</w:t>
            </w:r>
          </w:p>
        </w:tc>
        <w:tc>
          <w:tcPr>
            <w:tcW w:type="dxa" w:w="2160"/>
          </w:tcPr>
          <w:p>
            <w:r>
              <w:t>HR intake / personnel records</w:t>
            </w:r>
          </w:p>
        </w:tc>
        <w:tc>
          <w:tcPr>
            <w:tcW w:type="dxa" w:w="2160"/>
          </w:tcPr>
          <w:p>
            <w:r>
              <w:t>HR intake files, personnel files</w:t>
            </w:r>
          </w:p>
        </w:tc>
        <w:tc>
          <w:tcPr>
            <w:tcW w:type="dxa" w:w="2160"/>
          </w:tcPr>
          <w:p>
            <w:r>
              <w:t>Verified</w:t>
            </w:r>
          </w:p>
        </w:tc>
      </w:tr>
      <w:tr>
        <w:tc>
          <w:tcPr>
            <w:tcW w:type="dxa" w:w="2160"/>
          </w:tcPr>
          <w:p>
            <w:r>
              <w:t>Payroll Custodian(s)</w:t>
            </w:r>
          </w:p>
        </w:tc>
        <w:tc>
          <w:tcPr>
            <w:tcW w:type="dxa" w:w="2160"/>
          </w:tcPr>
          <w:p>
            <w:r>
              <w:t>Payroll administration</w:t>
            </w:r>
          </w:p>
        </w:tc>
        <w:tc>
          <w:tcPr>
            <w:tcW w:type="dxa" w:w="2160"/>
          </w:tcPr>
          <w:p>
            <w:r>
              <w:t>Payroll export, timekeeping system</w:t>
            </w:r>
          </w:p>
        </w:tc>
        <w:tc>
          <w:tcPr>
            <w:tcW w:type="dxa" w:w="2160"/>
          </w:tcPr>
          <w:p>
            <w:r>
              <w:t>Verified</w:t>
            </w:r>
          </w:p>
        </w:tc>
      </w:tr>
      <w:tr>
        <w:tc>
          <w:tcPr>
            <w:tcW w:type="dxa" w:w="2160"/>
          </w:tcPr>
          <w:p>
            <w:r>
              <w:t>Vasquez</w:t>
            </w:r>
          </w:p>
        </w:tc>
        <w:tc>
          <w:tcPr>
            <w:tcW w:type="dxa" w:w="2160"/>
          </w:tcPr>
          <w:p>
            <w:r>
              <w:t>Privilege log entry (custodian docs)</w:t>
            </w:r>
          </w:p>
        </w:tc>
        <w:tc>
          <w:tcPr>
            <w:tcW w:type="dxa" w:w="2160"/>
          </w:tcPr>
          <w:p>
            <w:r>
              <w:t>Email, shared drive</w:t>
            </w:r>
          </w:p>
        </w:tc>
        <w:tc>
          <w:tcPr>
            <w:tcW w:type="dxa" w:w="2160"/>
          </w:tcPr>
          <w:p>
            <w:r>
              <w:t>Final — privilege resolved</w:t>
            </w:r>
          </w:p>
        </w:tc>
      </w:tr>
      <w:tr>
        <w:tc>
          <w:tcPr>
            <w:tcW w:type="dxa" w:w="2160"/>
          </w:tcPr>
          <w:p>
            <w:r>
              <w:t>Okafor</w:t>
            </w:r>
          </w:p>
        </w:tc>
        <w:tc>
          <w:tcPr>
            <w:tcW w:type="dxa" w:w="2160"/>
          </w:tcPr>
          <w:p>
            <w:r>
              <w:t>Privilege log entry (custodian docs)</w:t>
            </w:r>
          </w:p>
        </w:tc>
        <w:tc>
          <w:tcPr>
            <w:tcW w:type="dxa" w:w="2160"/>
          </w:tcPr>
          <w:p>
            <w:r>
              <w:t>Email, shared drive</w:t>
            </w:r>
          </w:p>
        </w:tc>
        <w:tc>
          <w:tcPr>
            <w:tcW w:type="dxa" w:w="2160"/>
          </w:tcPr>
          <w:p>
            <w:r>
              <w:t>Final — privilege resolved</w:t>
            </w:r>
          </w:p>
        </w:tc>
      </w:tr>
      <w:tr>
        <w:tc>
          <w:tcPr>
            <w:tcW w:type="dxa" w:w="2160"/>
          </w:tcPr>
          <w:p>
            <w:r>
              <w:t>Regional Ops Managers</w:t>
            </w:r>
          </w:p>
        </w:tc>
        <w:tc>
          <w:tcPr>
            <w:tcW w:type="dxa" w:w="2160"/>
          </w:tcPr>
          <w:p>
            <w:r>
              <w:t>Scheduling / meal-break policy application</w:t>
            </w:r>
          </w:p>
        </w:tc>
        <w:tc>
          <w:tcPr>
            <w:tcW w:type="dxa" w:w="2160"/>
          </w:tcPr>
          <w:p>
            <w:r>
              <w:t>Email, scheduling system exports</w:t>
            </w:r>
          </w:p>
        </w:tc>
        <w:tc>
          <w:tcPr>
            <w:tcW w:type="dxa" w:w="2160"/>
          </w:tcPr>
          <w:p>
            <w:r>
              <w:t>Confirmed in scope</w:t>
            </w:r>
          </w:p>
        </w:tc>
      </w:tr>
    </w:tbl>
    <w:p>
      <w:r>
        <w:t>Note on Ex. 17: the HR custodian declaration originally contemplated for the timeline narrative will not be drafted. Per Rosalie's decision, the relevant timeline point is being rebuilt from existing declarations already in the record. This does not narrow custodian scope — HR intake and payroll data remain fully in scope and have been verified.</w:t>
      </w:r>
    </w:p>
    <w:p>
      <w:pPr>
        <w:pStyle w:val="Heading2"/>
      </w:pPr>
      <w:r>
        <w:t>2. Search Terms</w:t>
      </w:r>
    </w:p>
    <w:p>
      <w:r>
        <w:t>Search terms are organized by subject area to align with the collective action's core allegations (missed/short meal breaks, rounding practices, and policy communication).</w:t>
      </w:r>
    </w:p>
    <w:tbl>
      <w:tblPr>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Terms</w:t>
            </w:r>
          </w:p>
        </w:tc>
      </w:tr>
      <w:tr>
        <w:tc>
          <w:tcPr>
            <w:tcW w:type="dxa" w:w="4320"/>
          </w:tcPr>
          <w:p>
            <w:r>
              <w:t>Meal-break policy</w:t>
            </w:r>
          </w:p>
        </w:tc>
        <w:tc>
          <w:tcPr>
            <w:tcW w:type="dxa" w:w="4320"/>
          </w:tcPr>
          <w:p>
            <w:r>
              <w:t>"meal break" OR "meal period" OR "30-minute break" OR "lunch break" OR "break waiver"</w:t>
            </w:r>
          </w:p>
        </w:tc>
      </w:tr>
      <w:tr>
        <w:tc>
          <w:tcPr>
            <w:tcW w:type="dxa" w:w="4320"/>
          </w:tcPr>
          <w:p>
            <w:r>
              <w:t>Scheduling/rounding</w:t>
            </w:r>
          </w:p>
        </w:tc>
        <w:tc>
          <w:tcPr>
            <w:tcW w:type="dxa" w:w="4320"/>
          </w:tcPr>
          <w:p>
            <w:r>
              <w:t>"clock in" OR "clock out" OR "rounding" OR "auto-deduct" OR "timeclock exception"</w:t>
            </w:r>
          </w:p>
        </w:tc>
      </w:tr>
      <w:tr>
        <w:tc>
          <w:tcPr>
            <w:tcW w:type="dxa" w:w="4320"/>
          </w:tcPr>
          <w:p>
            <w:r>
              <w:t>Policy communication</w:t>
            </w:r>
          </w:p>
        </w:tc>
        <w:tc>
          <w:tcPr>
            <w:tcW w:type="dxa" w:w="4320"/>
          </w:tcPr>
          <w:p>
            <w:r>
              <w:t>"break policy" OR "handbook update" OR "compliance memo" OR "driver bulletin"</w:t>
            </w:r>
          </w:p>
        </w:tc>
      </w:tr>
      <w:tr>
        <w:tc>
          <w:tcPr>
            <w:tcW w:type="dxa" w:w="4320"/>
          </w:tcPr>
          <w:p>
            <w:r>
              <w:t>Complaints/escalations</w:t>
            </w:r>
          </w:p>
        </w:tc>
        <w:tc>
          <w:tcPr>
            <w:tcW w:type="dxa" w:w="4320"/>
          </w:tcPr>
          <w:p>
            <w:r>
              <w:t>"missed break" OR "short break" OR "complaint" OR "grievance" OR "HR ticket"</w:t>
            </w:r>
          </w:p>
        </w:tc>
      </w:tr>
      <w:tr>
        <w:tc>
          <w:tcPr>
            <w:tcW w:type="dxa" w:w="4320"/>
          </w:tcPr>
          <w:p>
            <w:r>
              <w:t>Management directives</w:t>
            </w:r>
          </w:p>
        </w:tc>
        <w:tc>
          <w:tcPr>
            <w:tcW w:type="dxa" w:w="4320"/>
          </w:tcPr>
          <w:p>
            <w:r>
              <w:t>"coverage" OR "staffing shortage" OR "route schedule" OR "dispatch"</w:t>
            </w:r>
          </w:p>
        </w:tc>
      </w:tr>
    </w:tbl>
    <w:p>
      <w:r>
        <w:t>Terms will be run against the verified HR intake and payroll exports first, then extended to the Vasquez/Okafor custodial files now that privilege review is complete. Hit reports will be circulated for review-team calibration before first-pass review begins.</w:t>
      </w:r>
    </w:p>
    <w:p>
      <w:pPr>
        <w:pStyle w:val="Heading2"/>
      </w:pPr>
      <w:r>
        <w:t>3. Review Workflow</w:t>
      </w:r>
    </w:p>
    <w:p>
      <w:pPr>
        <w:pStyle w:val="ListNumber"/>
      </w:pPr>
      <w:r>
        <w:t>First-pass relevance review: contract review team applies search terms above; tags for Relevant / Not Relevant / Privilege Flag.</w:t>
      </w:r>
    </w:p>
    <w:p>
      <w:pPr>
        <w:pStyle w:val="ListNumber"/>
      </w:pPr>
      <w:r>
        <w:t>Privilege escalation: any new privilege flags route to the same process used for Vasquez/Okafor — associate review, then log entry, then partner sign-off before Final designation.</w:t>
      </w:r>
    </w:p>
    <w:p>
      <w:pPr>
        <w:pStyle w:val="ListNumber"/>
      </w:pPr>
      <w:r>
        <w:t>Second-pass QC: 10% random sample of Not Relevant tags reviewed by senior associate (H. Bae) for calibration accuracy.</w:t>
      </w:r>
    </w:p>
    <w:p>
      <w:pPr>
        <w:pStyle w:val="ListNumber"/>
      </w:pPr>
      <w:r>
        <w:t>Hot document identification: any document bearing on meal-break policy design, rounding practice justification, or management awareness is flagged for immediate escalation regardless of review queue position.</w:t>
      </w:r>
    </w:p>
    <w:p>
      <w:pPr>
        <w:pStyle w:val="ListNumber"/>
      </w:pPr>
      <w:r>
        <w:t>Production staging: cleared documents move to the exhibit/witness list rebuild now underway following the Ex. 17 resolution, so review tagging should map directly to the exhibit numbering conventions in use there.</w:t>
      </w:r>
    </w:p>
    <w:p>
      <w:pPr>
        <w:pStyle w:val="Heading2"/>
      </w:pPr>
      <w:r>
        <w:t>4. Open Items and Dependencies</w:t>
      </w:r>
    </w:p>
    <w:p>
      <w:r>
        <w:t>No open items on this workstream currently affect the master deadline. The document review tracker (Sable Ridge – Driver Meal-Break Collective Action: Document Review Tracker) will be updated as batches clear first-pass review. Any scope questions arising from cross-checking the thin-evidentiary sections against the exhibit list will be raised separately and do not block initiation of review under this protocol.</w:t>
      </w:r>
    </w:p>
    <w:p>
      <w:r>
        <w:t>Protocol check, this week: the privilege log was reviewed specifically for new custodian-interview items. No new entries were identified requiring addition. All existing entries and prior resolutions (Log Nos. 5 and 8) remain accurate and current; no content in the log was altered, removed, or added as a result of this check. Custodian scope and interview status in Section 1 stand as final and require no 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