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Rosalie</w:t>
      </w:r>
    </w:p>
    <w:p>
      <w:r>
        <w:t>From: Hyun-woo Bae</w:t>
      </w:r>
    </w:p>
    <w:p>
      <w:r>
        <w:t>Re: Meet-and-Confer Preparation — Privilege Log Status and Disputed Categories (Sable Ridge Driver Meal-Break Collective Action)</w:t>
      </w:r>
    </w:p>
    <w:p>
      <w:pPr>
        <w:pStyle w:val="Heading2"/>
      </w:pPr>
      <w:r>
        <w:t>Summary</w:t>
      </w:r>
    </w:p>
    <w:p>
      <w:r>
        <w:t>This memo prepares the team for the upcoming meet-and-confer with opposing counsel on privilege log matters in Sable Ridge. Four points: (1) the privilege log is current through this cycle's review sweep, with no new custodian-interview privileged entries identified for logging; (2) Section I and the Ardmore chain-of-access issue are both fully closed and re-verified, with no impact from the earlier Ardmore correction, so those items should not resurface as disputed categories; (3) the consolidation loop flagged by Lucien is now confirmed closed, having been raised on yesterday's 14:00 call; and (4) the disputed categories opposing counsel is expected to raise remain limited to the entries flagged in prior correspondence, and our position on each is set out below. Note separately that the Ardmore chain-of-access routing (closed) should not be confused with the reply brief filing status (still open) — these are distinct items and a deck note conflating them has been flagged for correction.</w:t>
      </w:r>
    </w:p>
    <w:p>
      <w:pPr>
        <w:pStyle w:val="Heading2"/>
      </w:pPr>
      <w:r>
        <w:t>1. Privilege Log Status</w:t>
      </w:r>
    </w:p>
    <w:p>
      <w:r>
        <w:t>The Privilege Log sheet (doc-000031 tracker family) has not changed in substance during this cycle. The 10:00-11:00 review sweep was completed and logged as an Open Issues entry confirming no new custodian-interview privileged communications were identified for addition. This is consistent with the results of prior weekly maintenance checks. No new privileged entries required logging, and all existing rows have been preserved without modification.</w:t>
      </w:r>
    </w:p>
    <w:p>
      <w:pPr>
        <w:pStyle w:val="ListNumber"/>
      </w:pPr>
      <w:r>
        <w:t>Section I Bates range and pincites are closed and re-verified. The Ardmore correction has been reconciled and confirmed to have no impact on Section I. This range is safe for use in the discovery response draft (Noor).</w:t>
      </w:r>
    </w:p>
    <w:p>
      <w:pPr>
        <w:pStyle w:val="ListNumber"/>
      </w:pPr>
      <w:r>
        <w:t>The Ardmore chain-of-access reassignment is closed, with Samir confirmed as owner. This should not be treated as an open discovery issue at the meet-and-confer. Note: this is distinct from the reply brief filing status, which remains open — a deck note conflating the two has been flagged for correction with the deck owner.</w:t>
      </w:r>
    </w:p>
    <w:p>
      <w:pPr>
        <w:pStyle w:val="ListNumber"/>
      </w:pPr>
      <w:r>
        <w:t>No changes to the Privilege Log sheet this cycle. If opposing counsel asks whether the log has been updated since our last exchange, the accurate answer is: reviewed, no additions required, no rows altered.</w:t>
      </w:r>
    </w:p>
    <w:p>
      <w:pPr>
        <w:pStyle w:val="Heading2"/>
      </w:pPr>
      <w:r>
        <w:t>2. Disputed Categories to Raise With Opposing Counsel</w:t>
      </w:r>
    </w:p>
    <w:p>
      <w:r>
        <w:t>Based on the current state of the log and prior correspondence, the following categories remain live and should be addressed at the meet-and-confer. This list should be treated as the working agenda; add specifics as opposing counsel's position letter is reviewed.</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Status</w:t>
            </w:r>
          </w:p>
        </w:tc>
        <w:tc>
          <w:tcPr>
            <w:tcW w:type="dxa" w:w="2880"/>
          </w:tcPr>
          <w:p>
            <w:r>
              <w:t>Our Position</w:t>
            </w:r>
          </w:p>
        </w:tc>
      </w:tr>
      <w:tr>
        <w:tc>
          <w:tcPr>
            <w:tcW w:type="dxa" w:w="2880"/>
          </w:tcPr>
          <w:p>
            <w:r>
              <w:t>Custodian-interview notes</w:t>
            </w:r>
          </w:p>
        </w:tc>
        <w:tc>
          <w:tcPr>
            <w:tcW w:type="dxa" w:w="2880"/>
          </w:tcPr>
          <w:p>
            <w:r>
              <w:t>Log entries under review each cycle; no new entries this pass</w:t>
            </w:r>
          </w:p>
        </w:tc>
        <w:tc>
          <w:tcPr>
            <w:tcW w:type="dxa" w:w="2880"/>
          </w:tcPr>
          <w:p>
            <w:r>
              <w:t>Log is current; any challenge to existing entries should be identified by Bates/entry number so we can respond specifically</w:t>
            </w:r>
          </w:p>
        </w:tc>
      </w:tr>
      <w:tr>
        <w:tc>
          <w:tcPr>
            <w:tcW w:type="dxa" w:w="2880"/>
          </w:tcPr>
          <w:p>
            <w:r>
              <w:t>Section I materials (pre-Ardmore correction)</w:t>
            </w:r>
          </w:p>
        </w:tc>
        <w:tc>
          <w:tcPr>
            <w:tcW w:type="dxa" w:w="2880"/>
          </w:tcPr>
          <w:p>
            <w:r>
              <w:t>Closed and re-verified; no impact from correction</w:t>
            </w:r>
          </w:p>
        </w:tc>
        <w:tc>
          <w:tcPr>
            <w:tcW w:type="dxa" w:w="2880"/>
          </w:tcPr>
          <w:p>
            <w:r>
              <w:t>Treat as resolved; decline to reopen absent new information from opposing counsel</w:t>
            </w:r>
          </w:p>
        </w:tc>
      </w:tr>
      <w:tr>
        <w:tc>
          <w:tcPr>
            <w:tcW w:type="dxa" w:w="2880"/>
          </w:tcPr>
          <w:p>
            <w:r>
              <w:t>Ardmore chain-of-access documents</w:t>
            </w:r>
          </w:p>
        </w:tc>
        <w:tc>
          <w:tcPr>
            <w:tcW w:type="dxa" w:w="2880"/>
          </w:tcPr>
          <w:p>
            <w:r>
              <w:t>Closed; Samir confirmed as owner</w:t>
            </w:r>
          </w:p>
        </w:tc>
        <w:tc>
          <w:tcPr>
            <w:tcW w:type="dxa" w:w="2880"/>
          </w:tcPr>
          <w:p>
            <w:r>
              <w:t>Resolved administratively; not a substantive privilege dispute</w:t>
            </w:r>
          </w:p>
        </w:tc>
      </w:tr>
      <w:tr>
        <w:tc>
          <w:tcPr>
            <w:tcW w:type="dxa" w:w="2880"/>
          </w:tcPr>
          <w:p>
            <w:r>
              <w:t>Consolidation-related communications</w:t>
            </w:r>
          </w:p>
        </w:tc>
        <w:tc>
          <w:tcPr>
            <w:tcW w:type="dxa" w:w="2880"/>
          </w:tcPr>
          <w:p>
            <w:r>
              <w:t>Closed — confirmed Lucien raised the point on yesterday's 14:00 call</w:t>
            </w:r>
          </w:p>
        </w:tc>
        <w:tc>
          <w:tcPr>
            <w:tcW w:type="dxa" w:w="2880"/>
          </w:tcPr>
          <w:p>
            <w:r>
              <w:t>Loop closed; if opposing counsel references consolidation discussions, confirm no outstanding log gap identified</w:t>
            </w:r>
          </w:p>
        </w:tc>
      </w:tr>
    </w:tbl>
    <w:p>
      <w:pPr>
        <w:pStyle w:val="Heading2"/>
      </w:pPr>
      <w:r>
        <w:t>3. Preparation Notes</w:t>
      </w:r>
    </w:p>
    <w:p>
      <w:pPr>
        <w:pStyle w:val="ListNumber"/>
      </w:pPr>
      <w:r>
        <w:t>Bring the current Privilege Log sheet and the Document Review Tracker for Sable Ridge to the call in case opposing counsel cites specific entry numbers.</w:t>
      </w:r>
    </w:p>
    <w:p>
      <w:pPr>
        <w:pStyle w:val="ListNumber"/>
      </w:pPr>
      <w:r>
        <w:t>Be prepared to confirm, if asked, that our weekly maintenance process (10:00-11:00 review sweep) is ongoing and that this cycle produced no new logging obligations.</w:t>
      </w:r>
    </w:p>
    <w:p>
      <w:pPr>
        <w:pStyle w:val="ListNumber"/>
      </w:pPr>
      <w:r>
        <w:t>Do not volunteer detail on the deposition summary work product; that material is for internal depo prep only and is not responsive to the privilege log discussion.</w:t>
      </w:r>
    </w:p>
    <w:p>
      <w:pPr>
        <w:pStyle w:val="ListNumber"/>
      </w:pPr>
      <w:r>
        <w:t>If opposing counsel raises a category not listed above, note it for follow-up rather than committing to a position on the call.</w:t>
      </w:r>
    </w:p>
    <w:p>
      <w:pPr>
        <w:pStyle w:val="ListNumber"/>
      </w:pPr>
      <w:r>
        <w:t>Be ready for a partner question distinguishing the closed Ardmore chain-of-access item from the still-open reply brief filing status — these are separate threads and should not be described as both resolved.</w:t>
      </w:r>
    </w:p>
    <w:p>
      <w:pPr>
        <w:pStyle w:val="ListNumber"/>
      </w:pPr>
      <w:r>
        <w:t>The docket-call pattern remains the one open item flagged for partner attention; have status ready if raised, but it is separate from the privilege log agenda.</w:t>
      </w:r>
    </w:p>
    <w:p>
      <w:r>
        <w:t>Please let me know if you want anything added before the call, or if you'd like a shorter talking-points version for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