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Sable Ridge Transportation relationship partner</w:t>
            </w:r>
          </w:p>
        </w:tc>
      </w:tr>
      <w:tr>
        <w:tc>
          <w:tcPr>
            <w:tcW w:type="dxa" w:w="4320"/>
          </w:tcPr>
          <w:p>
            <w:r>
              <w:t>From</w:t>
            </w:r>
          </w:p>
        </w:tc>
        <w:tc>
          <w:tcPr>
            <w:tcW w:type="dxa" w:w="4320"/>
          </w:tcPr>
          <w:p>
            <w:r>
              <w:t>Jamal Okonkwo, Counsel, Employment</w:t>
            </w:r>
          </w:p>
        </w:tc>
      </w:tr>
      <w:tr>
        <w:tc>
          <w:tcPr>
            <w:tcW w:type="dxa" w:w="4320"/>
          </w:tcPr>
          <w:p>
            <w:r>
              <w:t>Re</w:t>
            </w:r>
          </w:p>
        </w:tc>
        <w:tc>
          <w:tcPr>
            <w:tcW w:type="dxa" w:w="4320"/>
          </w:tcPr>
          <w:p>
            <w:r>
              <w:t>Driver meal-break collective action — case assessment and litigation strategy</w:t>
            </w:r>
          </w:p>
        </w:tc>
      </w:tr>
      <w:tr>
        <w:tc>
          <w:tcPr>
            <w:tcW w:type="dxa" w:w="4320"/>
          </w:tcPr>
          <w:p>
            <w:r>
              <w:t>Status</w:t>
            </w:r>
          </w:p>
        </w:tc>
        <w:tc>
          <w:tcPr>
            <w:tcW w:type="dxa" w:w="4320"/>
          </w:tcPr>
          <w:p>
            <w:r>
              <w:t>Draft for internal review</w:t>
            </w:r>
          </w:p>
        </w:tc>
      </w:tr>
    </w:tbl>
    <w:p>
      <w:r>
        <w:t>REVIEWER NOTE (D. Reinhardt): Overall this holds up — good instinct to separate liability from certification/damages. Flagging specific spots below where the sample doesn't yet support the confidence level of the language. Fix those and this is ready for the client-facing version.</w:t>
      </w:r>
    </w:p>
    <w:p>
      <w:pPr>
        <w:pStyle w:val="Heading2"/>
      </w:pPr>
      <w:r>
        <w:t>1. Bottom Line</w:t>
      </w:r>
    </w:p>
    <w:p>
      <w:r>
        <w:t>Exposure here is real and the pattern is consistent where we have looked. Sable Ridge's automated dispatch system logs a 30-minute meal-break deduction on every shift regardless of whether a break was actually taken, and driver logs we have reviewed to date (approx. 40 drivers, 3 terminals) show routine interruption by dispatch calls and load-time pressure during the deducted window. That fact pattern has driven certification and eight-figure outcomes in comparable meal-break cases, and it is the fact pattern we have so far — not yet a company-wide finding. The live questions are liability on the named plaintiffs' claims where we have sampled, plus (a) whether the class can be certified on a common-proof theory given route and terminal variation, and (b) damages scope if it is.</w:t>
      </w:r>
    </w:p>
    <w:p>
      <w:r>
        <w:t>REVIEWER NOTE: fixed — this now matches the hedge in Section 7. Sign off.</w:t>
      </w:r>
    </w:p>
    <w:p>
      <w:pPr>
        <w:pStyle w:val="Heading2"/>
      </w:pPr>
      <w:r>
        <w:t>2. Procedural Posture</w:t>
      </w:r>
    </w:p>
    <w:p>
      <w:r>
        <w:t>Collective action filed under the FLSA with an opt-in mechanism; state-law class claims pled in the alternative under Rule 23 in the jurisdictions where Sable Ridge operates terminals with the highest driver headcount. No conditional certification motion has been decided. We are still within the window to shape the record before that motion is briefed.</w:t>
      </w:r>
    </w:p>
    <w:p>
      <w:r>
        <w:t>REVIEWER NOTE: sign off on this section, no changes.</w:t>
      </w:r>
    </w:p>
    <w:p>
      <w:pPr>
        <w:pStyle w:val="Heading2"/>
      </w:pPr>
      <w:r>
        <w:t>3. Facts Developed to Date</w:t>
      </w:r>
    </w:p>
    <w:p>
      <w:pPr>
        <w:pStyle w:val="ListBullet"/>
      </w:pPr>
      <w:r>
        <w:t>Automated 30-minute deduction applied on every shift exceeding 6 hours, regardless of whether a break was logged or interrupted, across 3 of Sable Ridge's total 11 terminals reviewed so far.</w:t>
      </w:r>
    </w:p>
    <w:p>
      <w:pPr>
        <w:pStyle w:val="ListBullet"/>
      </w:pPr>
      <w:r>
        <w:t>Sampled driver logs (approx. 40 drivers, 3 of 11 terminals) show dispatch contact during the deducted window on a majority of shifts sampled — pattern, not isolated incident, within the sample.</w:t>
      </w:r>
    </w:p>
    <w:p>
      <w:pPr>
        <w:pStyle w:val="ListBullet"/>
      </w:pPr>
      <w:r>
        <w:t>Written policy states breaks are unpaid and duty-free; practice as reflected in dispatch records is inconsistent with that policy on its face, at the 3 of 11 terminals sampled.</w:t>
      </w:r>
    </w:p>
    <w:p>
      <w:pPr>
        <w:pStyle w:val="ListBullet"/>
      </w:pPr>
      <w:r>
        <w:t>No terminal-level discretion identified yet in how the deduction is applied at the 3 of 11 terminals reviewed — this cuts toward commonality, not away from it, but whether the remaining 8 terminals share this pattern is still open.</w:t>
      </w:r>
    </w:p>
    <w:p>
      <w:pPr>
        <w:pStyle w:val="ListBullet"/>
      </w:pPr>
      <w:r>
        <w:t>Named plaintiffs are from two terminals; opt-in notice period has not yet run its course, so the eventual collective's terminal composition is not yet fixed.</w:t>
      </w:r>
    </w:p>
    <w:p>
      <w:r>
        <w:t>REVIEWER NOTE: denominator added (3 of 11 terminals) throughout this section per prior flag. Confirm the 11-terminal total with Jamal before this goes external, but language now correctly bounds the sample rather than letting 'so far' carry the weight. Cleared.</w:t>
      </w:r>
    </w:p>
    <w:p>
      <w:pPr>
        <w:pStyle w:val="Heading2"/>
      </w:pPr>
      <w:r>
        <w:t>4. Certification Analysis</w:t>
      </w:r>
    </w:p>
    <w:p>
      <w:r>
        <w:t>Arguably, the automated-deduction-plus-dispatch-interruption pattern is exactly the kind of common, company-wide practice that supports conditional certification under the lenient FLSA standard, and plaintiffs' counsel knows it — expect the motion to lean heavily on the uniformity of the timekeeping system rather than on individual driver testimony. We should not expect to defeat conditional certification on the papers. The more defensible ground is at decertification and at the Rule 23 predominance stage, where variation in route length, terminal staffing, and whether a given driver's interruptions were sufficient in frequency to defeat the deduction as a matter of law becomes relevant. That argument requires terminal-by-terminal data we do not yet have in usable form. Target: usable terminal-by-terminal data by the next case status review; owner to confirm exact date.</w:t>
      </w:r>
    </w:p>
    <w:p>
      <w:r>
        <w:t>REVIEWER NOTE: this section is well-reasoned and appropriately hedged already ('arguably,' flags the data gap). Date target added per my ask since Section 6 depends on it and the client will ask — owner/firm date still needs to be locked in, but placeholder is in. Sign off once that's finalized.</w:t>
      </w:r>
    </w:p>
    <w:p>
      <w:pPr>
        <w:pStyle w:val="Heading2"/>
      </w:pPr>
      <w:r>
        <w:t>5. Damages Exposure</w:t>
      </w:r>
    </w:p>
    <w:p>
      <w:r>
        <w:t>Rough framing only, pending the damages model: if the deducted window is compensable on a majority of shifts at the 3 of 11 terminals sampled to date, back pay plus liquidated damages under the FLSA and any applicable state premium-pay penalties could reach a meaningful multiple of a single terminal's annual driver payroll, before considering derivative claims (wage-statement penalties, waiting-time penalties in states that impose them). Whether this scales company-wide depends on data we do not yet have from the remaining 8 terminals. We are building the quantification separately; treat any number mentioned to the client before that model is done as illustrative, not a position.</w:t>
      </w:r>
    </w:p>
    <w:p>
      <w:r>
        <w:t>REVIEWER NOTE: fixed — 'majority of shifts' now ties back to the sampled terminals rather than company-wide, and the denominator from Section 3 is carried through here too. Cleared, no outstanding dependency.</w:t>
      </w:r>
    </w:p>
    <w:p>
      <w:pPr>
        <w:pStyle w:val="Heading2"/>
      </w:pPr>
      <w:r>
        <w:t>6. Recommended Near-Term Steps</w:t>
      </w:r>
    </w:p>
    <w:p>
      <w:pPr>
        <w:pStyle w:val="ListNumber"/>
      </w:pPr>
      <w:r>
        <w:t>Preserve and collect dispatch-log and timekeeping data across all terminals now, before conditional certification, so the record supports a decertification argument later rather than leaving us to reconstruct it under deadline pressure. [Owner: J. Okonkwo — Target: within 2 weeks]</w:t>
      </w:r>
    </w:p>
    <w:p>
      <w:pPr>
        <w:pStyle w:val="ListNumber"/>
      </w:pPr>
      <w:r>
        <w:t>Interview terminal managers at the two terminals not yet represented among named plaintiffs to identify any genuine practice variation — we need this before we can credibly argue lack of commonality. [Owner: J. Okonkwo — Target: within 3 weeks]</w:t>
      </w:r>
    </w:p>
    <w:p>
      <w:pPr>
        <w:pStyle w:val="ListNumber"/>
      </w:pPr>
      <w:r>
        <w:t>Evaluate a targeted policy fix (break-attestation step in the dispatch app) prospectively; this will not affect existing exposure but blunts an ongoing-violation argument and is worth raising with the client independent of the litigation. [Owner: TBD — coordinate with client ops contact — Target: next client call]</w:t>
      </w:r>
    </w:p>
    <w:p>
      <w:pPr>
        <w:pStyle w:val="ListNumber"/>
      </w:pPr>
      <w:r>
        <w:t>Hold on any settlement-value discussion with the client until the damages model and the terminal-variation interview results are in — a number given now will be treated as an anchor later. [Owner: D. Reinhardt / J. Okonkwo — ongoing, no discussion until items 1-2 above close]</w:t>
      </w:r>
    </w:p>
    <w:p>
      <w:r>
        <w:t>REVIEWER NOTE: owners and target dates added per my prior note — 'we' is now assignable. Item 3's owner is still TBD pending confirmation of who's coordinating with the client's ops side; flag to fill in before client circulation. Otherwise cleared — sequencing and settlement hold are correct.</w:t>
      </w:r>
    </w:p>
    <w:p>
      <w:pPr>
        <w:pStyle w:val="Heading2"/>
      </w:pPr>
      <w:r>
        <w:t>7. What Is Not Yet Settled</w:t>
      </w:r>
    </w:p>
    <w:p>
      <w:r>
        <w:t>We do not yet know whether interruption frequency is high enough at every terminal to defeat the deduction as a matter of law, or only at some. We do not yet have a defensible damages range. Both should be treated as open until the underlying data work is complete; nothing in this memo should be represented to the client as a final assessment of exposure.</w:t>
      </w:r>
    </w:p>
    <w:p>
      <w:r>
        <w:t>REVIEWER NOTE: Sections 1, 3, and 5 have been tightened to match this section's hedge — the memo no longer reads confident up front and cautious in the back. Terminal denominator added to Section 3 and carried through Sections 1 and 5; date target added to Section 4; owners/dates added to Section 6 (one TBD remaining on item 3). Confirm the 11-terminal total and lock the Section 4 date and Section 6 item-3 owner, then this is ready to circulate internally.</w:t>
      </w:r>
    </w:p>
    <w:p>
      <w:r>
        <w:t>REVIEWER NOTE (D. Reinhardt — final): three items remain before internal circulation: (1) confirm 11-terminal total with Jamal, (2) lock the Section 4 target date, (3) name the item-3 owner in Section 6. Everything else in this memo is cleared as written — hedging is now consistent front to back, sample sizes are bounded, and the settlement hold in Section 6 stands. Close the three open items and send.</w:t>
      </w:r>
    </w:p>
    <w:p>
      <w:r>
        <w:t>REVIEWER NOTE (D. Reinhardt — status check): followed up separately on the three open items — still chasing confirmation on the terminal total and the item-3 owner, nothing locked yet on my end as of this pass. Don't circulate externally until those come back confirmed; internal sign-off above stands in the meantime.</w:t>
      </w:r>
    </w:p>
    <w:p>
      <w:r>
        <w:t>REVIEWER NOTE (D. Reinhardt — update): terminal total confirmed at 11 — that item is closed, Section 3's denominator is correct as written. Still open: Section 4 target date and the Section 6 item-3 owner. Hold external circulation until those two are locked; everything else stands as cleared.</w:t>
      </w:r>
    </w:p>
    <w:p>
      <w:r>
        <w:t>REVIEWER NOTE (D. Reinhardt — status check, cont.): checked again — Section 4's target date and Section 6 item 3's owner are both still outstanding, nothing new to report since my last update. Terminal total (11) remains the only item closed. Hold on external circulation continues; ping Jamal directly on the remaining two rather than letting this sit.</w:t>
      </w:r>
    </w:p>
    <w:p>
      <w:r>
        <w:t>REVIEWER NOTE (D. Reinhardt — status check, cont'd): still no movement on the Section 4 target date or the Section 6 item-3 owner. Emailing Jamal Okonkwo directly now to close both rather than tracking further in these notes — will update this memo once he responds. External circulation hold remains in effect until then.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