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&amp; CONFIDENTIAL — ATTORNEY WORK PRODUCT</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Jamal (Supervising Associate); Rosalie</w:t>
            </w:r>
          </w:p>
        </w:tc>
      </w:tr>
      <w:tr>
        <w:tc>
          <w:tcPr>
            <w:tcW w:type="dxa" w:w="4320"/>
          </w:tcPr>
          <w:p>
            <w:r>
              <w:t>From</w:t>
            </w:r>
          </w:p>
        </w:tc>
        <w:tc>
          <w:tcPr>
            <w:tcW w:type="dxa" w:w="4320"/>
          </w:tcPr>
          <w:p>
            <w:r>
              <w:t>Noor Haddad</w:t>
            </w:r>
          </w:p>
        </w:tc>
      </w:tr>
      <w:tr>
        <w:tc>
          <w:tcPr>
            <w:tcW w:type="dxa" w:w="4320"/>
          </w:tcPr>
          <w:p>
            <w:r>
              <w:t>Re</w:t>
            </w:r>
          </w:p>
        </w:tc>
        <w:tc>
          <w:tcPr>
            <w:tcW w:type="dxa" w:w="4320"/>
          </w:tcPr>
          <w:p>
            <w:r>
              <w:t>Sable Ridge Driver Meal-Break Collective Action — Meal-Break Liability Research Workstream</w:t>
            </w:r>
          </w:p>
        </w:tc>
      </w:tr>
      <w:tr>
        <w:tc>
          <w:tcPr>
            <w:tcW w:type="dxa" w:w="4320"/>
          </w:tcPr>
          <w:p>
            <w:r>
              <w:t>Status</w:t>
            </w:r>
          </w:p>
        </w:tc>
        <w:tc>
          <w:tcPr>
            <w:tcW w:type="dxa" w:w="4320"/>
          </w:tcPr>
          <w:p>
            <w:r>
              <w:t>Draft — Section II-III case-law application framework drafted per Lucien's suggested approach and Jamal's instruction; scope confirmed by Jamal overnight as certification-stage liability question only (see Section V.3). Sole remaining open dependency is confirmation of a hard date for the driver deposition transcript with Petra.</w:t>
            </w:r>
          </w:p>
        </w:tc>
      </w:tr>
    </w:tbl>
    <w:p>
      <w:pPr>
        <w:pStyle w:val="Heading2"/>
      </w:pPr>
      <w:r>
        <w:t>I. Purpose and Scope</w:t>
      </w:r>
    </w:p>
    <w:p>
      <w:r>
        <w:t>This memo begins the meal-break liability research workstream for the Sable Ridge driver meal-break collective action, per Jamal's instruction. This draft lays out the framework for the analysis — the governing legal questions, the categories of authority to be researched, and the open factual dependencies — rather than a completed substantive analysis. Per Lucien's suggested approach, confirmed with him this morning, the Section II-III framework is being drafted now so that witness testimony can be slotted in once the driver deposition transcript is available, rather than holding the entire memo until the transcript arrives.</w:t>
      </w:r>
    </w:p>
    <w:p>
      <w:r>
        <w:t>This workstream is opened now because the items that were holding it back have been closed: the framework hold has been confirmed, and the Sable Ridge witness/exhibit list cross-check is closed. Both are summarized in Section IV below for the record, since they bear on what this memo can and cannot rely on yet.</w:t>
      </w:r>
    </w:p>
    <w:p>
      <w:pPr>
        <w:pStyle w:val="Heading2"/>
      </w:pPr>
      <w:r>
        <w:t>II. Framework — Issues to Be Researched</w:t>
      </w:r>
    </w:p>
    <w:p>
      <w:pPr>
        <w:pStyle w:val="ListNumber"/>
      </w:pPr>
      <w:r>
        <w:t>Whether the putative class's job duties and scheduling structure support a finding that meal breaks were, as a matter of law or practice, not duty-free (the threshold liability question for the collective action).</w:t>
      </w:r>
    </w:p>
    <w:p>
      <w:pPr>
        <w:pStyle w:val="ListNumber"/>
      </w:pPr>
      <w:r>
        <w:t>Applicable statutory and regulatory meal-break standards in the relevant jurisdiction(s), including any distinctions drawn for drivers or other mobile/field employees.</w:t>
      </w:r>
    </w:p>
    <w:p>
      <w:pPr>
        <w:pStyle w:val="ListNumber"/>
      </w:pPr>
      <w:r>
        <w:t>Employer defenses bearing on waiver, de minimis interruption, and bona fide relief-of-duty policies, and how courts in comparable driver meal-break collective actions have treated them.</w:t>
      </w:r>
    </w:p>
    <w:p>
      <w:pPr>
        <w:pStyle w:val="ListNumber"/>
      </w:pPr>
      <w:r>
        <w:t>Damages framework implications — i.e., how the liability theory selected here will need to interface with any damages model built later in the case. Per Jamal's overnight response (Section V.3), this issue is deprioritized for this memo: the memo tracks the certification-stage liability question only, and this issue is carried as a placeholder pending any future instruction to reach the merits-stage damages interface.</w:t>
      </w:r>
    </w:p>
    <w:p>
      <w:pPr>
        <w:pStyle w:val="Heading3"/>
      </w:pPr>
      <w:r>
        <w:t>II.A. Application Framework — Slotting Testimony In Later</w:t>
      </w:r>
    </w:p>
    <w:p>
      <w:r>
        <w:t>Per Lucien's approach, each issue above is treated as a placeholder structure now, to be populated once the driver deposition transcript comes in. This section identifies, for each issue, what the eventual testimony will need to establish, without asserting any factual or legal conclusion in advance of that record.</w:t>
      </w:r>
    </w:p>
    <w:p>
      <w:pPr>
        <w:pStyle w:val="ListBullet"/>
      </w:pPr>
      <w:r>
        <w:t>Issue 1 (duty-free status): once available, testimony will need to be reviewed for scheduling practices, dispatch/on-call expectations during breaks, and any employer directives bearing on whether breaks were interrupted as a matter of routine versus exception.</w:t>
      </w:r>
    </w:p>
    <w:p>
      <w:pPr>
        <w:pStyle w:val="ListBullet"/>
      </w:pPr>
      <w:r>
        <w:t>Issue 2 (statutory standard): jurisdiction-specific driver/mobile-worker carve-outs (if any) will need to be checked against the class's actual duties as described in testimony, once pulled.</w:t>
      </w:r>
    </w:p>
    <w:p>
      <w:pPr>
        <w:pStyle w:val="ListBullet"/>
      </w:pPr>
      <w:r>
        <w:t>Issue 3 (employer defenses): testimony bearing on the existence and communication of a bona fide relief-of-duty policy, and on individual drivers' awareness or waiver of break rights, will be the primary factual input once available.</w:t>
      </w:r>
    </w:p>
    <w:p>
      <w:pPr>
        <w:pStyle w:val="ListBullet"/>
      </w:pPr>
      <w:r>
        <w:t>Issue 4 (damages interface): no drafting yet; per Jamal's overnight scoping decision (Section V.3), this issue is out of scope for this memo unless and until instructed otherwise, so it remains a placeholder rather than an active research item.</w:t>
      </w:r>
    </w:p>
    <w:p>
      <w:pPr>
        <w:pStyle w:val="Heading2"/>
      </w:pPr>
      <w:r>
        <w:t>III. Categories of Authority to Be Pulled</w:t>
      </w:r>
    </w:p>
    <w:p>
      <w:pPr>
        <w:pStyle w:val="ListBullet"/>
      </w:pPr>
      <w:r>
        <w:t>Governing statute(s) and implementing regulations on meal-period requirements applicable to the driver class.</w:t>
      </w:r>
    </w:p>
    <w:p>
      <w:pPr>
        <w:pStyle w:val="ListBullet"/>
      </w:pPr>
      <w:r>
        <w:t>Controlling and persuasive case law on meal-break collective/class certification and liability in driver-specific contexts.</w:t>
      </w:r>
    </w:p>
    <w:p>
      <w:pPr>
        <w:pStyle w:val="ListBullet"/>
      </w:pPr>
      <w:r>
        <w:t>Any agency guidance or interpretive letters bearing on duty-free status during meal periods for mobile workers.</w:t>
      </w:r>
    </w:p>
    <w:p>
      <w:pPr>
        <w:pStyle w:val="ListBullet"/>
      </w:pPr>
      <w:r>
        <w:t>Internal precedent — prior firm work product on comparable meal-break matters, to the extent available and not otherwise walled off by matter-specific holds.</w:t>
      </w:r>
    </w:p>
    <w:p>
      <w:pPr>
        <w:pStyle w:val="Heading3"/>
      </w:pPr>
      <w:r>
        <w:t>III.A. Case-Law Application Structure</w:t>
      </w:r>
    </w:p>
    <w:p>
      <w:r>
        <w:t>This subsection sets the structure for applying pulled case law to the Section II issues once authority is in hand. No authority has yet been pulled or cited, and no legal conclusions are asserted here.</w:t>
      </w:r>
    </w:p>
    <w:p>
      <w:pPr>
        <w:pStyle w:val="ListBullet"/>
      </w:pPr>
      <w:r>
        <w:t>For each controlling or persuasive case identified, note: (i) the duty-free standard applied; (ii) whether the case arose in a driver/mobile-worker context or was extended to one; (iii) how the court treated employer defenses of the type listed in Section II.</w:t>
      </w:r>
    </w:p>
    <w:p>
      <w:pPr>
        <w:pStyle w:val="ListBullet"/>
      </w:pPr>
      <w:r>
        <w:t>Cases will be organized by issue (per Section II.1-II.4) rather than chronologically, to keep the application framework aligned with the liability question each is meant to support.</w:t>
      </w:r>
    </w:p>
    <w:p>
      <w:pPr>
        <w:pStyle w:val="ListBullet"/>
      </w:pPr>
      <w:r>
        <w:t>Placeholder only — first substantive entries to follow once authority-pulling (Section V.1) is underway.</w:t>
      </w:r>
    </w:p>
    <w:p>
      <w:pPr>
        <w:pStyle w:val="Heading2"/>
      </w:pPr>
      <w:r>
        <w:t>IV. Status of Dependent Open Items (Closed, for the Record)</w:t>
      </w:r>
    </w:p>
    <w:p>
      <w:r>
        <w:t>This may be nothing, but I want to flag the basis for treating these dependencies as resolved before building further on them, in case I've missed something.</w:t>
      </w:r>
    </w:p>
    <w:p>
      <w:pPr>
        <w:pStyle w:val="ListBullet"/>
      </w:pPr>
      <w:r>
        <w:t>Framework hold: confirmed closed, clearing this workstream to begin.</w:t>
      </w:r>
    </w:p>
    <w:p>
      <w:pPr>
        <w:pStyle w:val="ListBullet"/>
      </w:pPr>
      <w:r>
        <w:t>Sable Ridge witness/exhibit list (doc-000089) cross-check: complete, confirmed fully closed during this morning's triage. The Ex. 17 custodian issue is resolved and closed per Lucien and Hyunwoo. The Ulrich/Sandhurst holdout flag does not apply to Sable Ridge — per Bennett, that holdout belongs to Gideon's matter — so it has been closed as not applicable to this engagement.</w:t>
      </w:r>
    </w:p>
    <w:p>
      <w:pPr>
        <w:pStyle w:val="ListBullet"/>
      </w:pPr>
      <w:r>
        <w:t>doc-000089 unresolved ticket (source/owner): also resolved. Per Klara Bendtsen, the flag was raised in error and should not have been escalated, so this is closed and no longer tracked as an open item on either the deposition summary side or here.</w:t>
      </w:r>
    </w:p>
    <w:p>
      <w:pPr>
        <w:pStyle w:val="ListBullet"/>
      </w:pPr>
      <w:r>
        <w:t>Separately noted and tracked (not a dependency of this memo): doc-000003, the choice-of-law memo, was traced to Harrow Industries and does not belong to Sable Ridge.</w:t>
      </w:r>
    </w:p>
    <w:p>
      <w:pPr>
        <w:pStyle w:val="ListBullet"/>
      </w:pPr>
      <w:r>
        <w:t>Scope question (certification-stage liability only, versus also reaching the merits-stage damages interface in Section II.4): resolved overnight. Jamal confirmed this memo should track the certification-stage liability question only; the damages interface issue is carried as a placeholder in Sections II and II.A pending any future instruction otherwise. This item is closed and removed from Next Steps.</w:t>
      </w:r>
    </w:p>
    <w:p>
      <w:pPr>
        <w:pStyle w:val="ListBullet"/>
      </w:pPr>
      <w:r>
        <w:t>Sole remaining open dependency: driver deposition transcript availability with the supervising partner. Per Lucien's approach confirmed this morning, this no longer holds the Section II-III framework drafting itself — the framework above has been built so testimony can be slotted in once the transcript arrives — but it still gates the fact-specific application (Section II.A, Section III.A) beyond the placeholder structure. Noor is following up with Petra for a hard date. As of today's EOD status confirmation, this dependency remains unresolved and no new transcript material or exhibit information has been received.</w:t>
      </w:r>
    </w:p>
    <w:p>
      <w:pPr>
        <w:pStyle w:val="Heading2"/>
      </w:pPr>
      <w:r>
        <w:t>V. Next Steps</w:t>
      </w:r>
    </w:p>
    <w:p>
      <w:pPr>
        <w:pStyle w:val="ListNumber"/>
      </w:pPr>
      <w:r>
        <w:t>Pull and circulate the primary authority identified in Section III, organized per the application structure in Section III.A.</w:t>
      </w:r>
    </w:p>
    <w:p>
      <w:pPr>
        <w:pStyle w:val="ListNumber"/>
      </w:pPr>
      <w:r>
        <w:t>Push Petra for a hard date on driver deposition transcript availability; once available, incorporate witness testimony to populate Section II.A and test the framework in Section II against the actual factual record.</w:t>
      </w:r>
    </w:p>
    <w:p>
      <w:pPr>
        <w:pStyle w:val="ListNumber"/>
      </w:pPr>
      <w:r>
        <w:t>Recirculate an updated draft to Jamal and Rosalie once the first substantive section (governing statute and regulatory standard, per Section III) is complete.</w:t>
      </w:r>
    </w:p>
    <w:p>
      <w:r>
        <w:t>Scope confirmed by Jamal overnight — this memo tracks the certification-stage liability question only (Section II.4 damages interface is deprioritized pending further instruction). The sole remaining open point is confirming a hard transcript date with Petra so Section II.A and Section III.A can move from placeholder to substantive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