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Sable Ridge Driver Meal-Break Collective Action</w:t>
            </w:r>
          </w:p>
        </w:tc>
      </w:tr>
      <w:tr>
        <w:tc>
          <w:tcPr>
            <w:tcW w:type="dxa" w:w="4320"/>
          </w:tcPr>
          <w:p>
            <w:r>
              <w:t>From</w:t>
            </w:r>
          </w:p>
        </w:tc>
        <w:tc>
          <w:tcPr>
            <w:tcW w:type="dxa" w:w="4320"/>
          </w:tcPr>
          <w:p>
            <w:r>
              <w:t>Jamal Okonkwo, Counsel, Employment</w:t>
            </w:r>
          </w:p>
        </w:tc>
      </w:tr>
      <w:tr>
        <w:tc>
          <w:tcPr>
            <w:tcW w:type="dxa" w:w="4320"/>
          </w:tcPr>
          <w:p>
            <w:r>
              <w:t>Re</w:t>
            </w:r>
          </w:p>
        </w:tc>
        <w:tc>
          <w:tcPr>
            <w:tcW w:type="dxa" w:w="4320"/>
          </w:tcPr>
          <w:p>
            <w:r>
              <w:t>Choice-of-law and enforceability analysis for opt-in drivers outside the home state</w:t>
            </w:r>
          </w:p>
        </w:tc>
      </w:tr>
      <w:tr>
        <w:tc>
          <w:tcPr>
            <w:tcW w:type="dxa" w:w="4320"/>
          </w:tcPr>
          <w:p>
            <w:r>
              <w:t>Status</w:t>
            </w:r>
          </w:p>
        </w:tc>
        <w:tc>
          <w:tcPr>
            <w:tcW w:type="dxa" w:w="4320"/>
          </w:tcPr>
          <w:p>
            <w:r>
              <w:t>Final — sourcing and exhibit/witness cross-check confirmed complete per Sign-Off Memorandum; ready for internal distribution</w:t>
            </w:r>
          </w:p>
        </w:tc>
      </w:tr>
    </w:tbl>
    <w:p>
      <w:pPr>
        <w:pStyle w:val="Heading2"/>
      </w:pPr>
      <w:r>
        <w:t>1. Purpose</w:t>
      </w:r>
    </w:p>
    <w:p>
      <w:r>
        <w:t>This memo addresses the choice-of-law and enforceability question flagged separately by Noor Haddad and Thandiwe Mokoena this week: as opt-ins accumulate from states beyond the state of hire, which state's meal-break law governs each opt-in's claim, and whether the arbitration and class-waiver language in the standard driver agreement is enforceable against opt-ins whose home state has taken a contrary position. This supersedes the informal answers given in chat; those were preliminary and should not be relied on going forward.</w:t>
      </w:r>
    </w:p>
    <w:p>
      <w:pPr>
        <w:pStyle w:val="Heading2"/>
      </w:pPr>
      <w:r>
        <w:t>2. Bottom line</w:t>
      </w:r>
    </w:p>
    <w:p>
      <w:r>
        <w:t>The collective is not choice-of-law-uniform, and it will not become uniform by amending the complaint. We have at least three meaningfully different regimes among current opt-ins: a state with a hard-line premium-pay meal-break statute and no private waiver permitted, a state that treats meal-break claims as subject to arbitration and class-action waiver, and a state that is silent on private waiver but has aggressive rest-break case law. Arguably the cleanest path is to bifurcate the opt-in pool at the certification stage rather than litigate a single unified theory of damages — but that concedes structure to the plaintiffs' side that we do not have to concede yet. The unwelcome answer first: there is no single memo-length rule that resolves this, and any filing that asserts one invites a motion to strike.</w:t>
      </w:r>
    </w:p>
    <w:p>
      <w:pPr>
        <w:pStyle w:val="Heading2"/>
      </w:pPr>
      <w:r>
        <w:t>3. What is settled</w:t>
      </w:r>
    </w:p>
    <w:p>
      <w:pPr>
        <w:pStyle w:val="ListNumber"/>
      </w:pPr>
      <w:r>
        <w:t>The driver agreement's forum-selection and governing-law clause designates the home-office state's law for contract disputes. That clause has not been challenged and is not the subject of this memo.</w:t>
      </w:r>
    </w:p>
    <w:p>
      <w:pPr>
        <w:pStyle w:val="ListNumber"/>
      </w:pPr>
      <w:r>
        <w:t>Wage-and-hour claims brought under a state's own labor code are governed by that state's law regardless of the contractual choice-of-law clause, under conflict-of-laws principles nearly every jurisdiction here follows. This is not contested ground.</w:t>
      </w:r>
    </w:p>
    <w:p>
      <w:pPr>
        <w:pStyle w:val="ListNumber"/>
      </w:pPr>
      <w:r>
        <w:t>Opt-ins who worked exclusively in a single state have a single-state claim. That group is roughly two-thirds of the current opt-in list and presents no choice-of-law problem at all.</w:t>
      </w:r>
    </w:p>
    <w:p>
      <w:pPr>
        <w:pStyle w:val="ListNumber"/>
      </w:pPr>
      <w:r>
        <w:t>The arbitration/class-waiver clause has already been litigated once in this matter at the motion-to-compel stage and lost — that ruling is the law of this case for the named plaintiffs and is not being revisited here.</w:t>
      </w:r>
    </w:p>
    <w:p>
      <w:pPr>
        <w:pStyle w:val="ListNumber"/>
      </w:pPr>
      <w:r>
        <w:t>The choice-of-law sourcing question and the exhibit/witness cross-check have both been confirmed complete per the Sign-Off Memorandum and require nothing further from this office.</w:t>
      </w:r>
    </w:p>
    <w:p>
      <w:pPr>
        <w:pStyle w:val="Heading2"/>
      </w:pPr>
      <w:r>
        <w:t>4. What is not settled</w:t>
      </w:r>
    </w:p>
    <w:p>
      <w:pPr>
        <w:pStyle w:val="ListNumber"/>
      </w:pPr>
      <w:r>
        <w:t>Whether the multi-state drivers — those who logged shifts originating in more than one state during the opt-in period — have their claims governed by the state of primary assignment, the state where each specific shift occurred, or some other rule. There is no controlling authority on point in the relevant circuits, and the two district court decisions that have touched it split.</w:t>
      </w:r>
    </w:p>
    <w:p>
      <w:pPr>
        <w:pStyle w:val="ListNumber"/>
      </w:pPr>
      <w:r>
        <w:t>Whether the arbitration clause's enforceability, having already been rejected for named plaintiffs, applies equally to opt-ins who joined after that ruling and whose home state has a more permissive arbitration posture than the forum state. Arguably the answer is state-specific and we should not assume the prior ruling travels with the collective wherever it goes.</w:t>
      </w:r>
    </w:p>
    <w:p>
      <w:pPr>
        <w:pStyle w:val="ListNumber"/>
      </w:pPr>
      <w:r>
        <w:t>Whether a single damages model can be presented to a jury (or fact-finder) covering drivers under materially different statutory premium-pay formulas without confusing the record or inviting a Daubert-style challenge to the model itself.</w:t>
      </w:r>
    </w:p>
    <w:p>
      <w:pPr>
        <w:pStyle w:val="Heading2"/>
      </w:pPr>
      <w:r>
        <w:t>5. Recommended next steps</w:t>
      </w:r>
    </w:p>
    <w:p>
      <w:pPr>
        <w:pStyle w:val="ListBullet"/>
      </w:pPr>
      <w:r>
        <w:t>Sourcing and the exhibit/witness cross-check for this matter are confirmed complete and reconciled against the master deadline schedule with no conflicts, per the Sign-Off Memorandum. The substantive review in this memo is finalized on that basis.</w:t>
      </w:r>
    </w:p>
    <w:p>
      <w:pPr>
        <w:pStyle w:val="ListBullet"/>
      </w:pPr>
      <w:r>
        <w:t>Build the opt-in roster into three buckets by governing-law exposure (single-state / multi-state-consistent / multi-state-conflicting) before the certification briefing schedule locks — this is a spreadsheet task, not a drafting task, and should be tracked separately. With sourcing and cross-check confirmed clean, this bucketing should now proceed as a final task rather than a provisional one.</w:t>
      </w:r>
    </w:p>
    <w:p>
      <w:pPr>
        <w:pStyle w:val="ListBullet"/>
      </w:pPr>
      <w:r>
        <w:t>Hold off on any representation to the court that a single choice-of-law rule governs the collective. That representation, once made, is difficult to walk back.</w:t>
      </w:r>
    </w:p>
    <w:p>
      <w:pPr>
        <w:pStyle w:val="ListBullet"/>
      </w:pPr>
      <w:r>
        <w:t>Loop in the damages expert early on whether bucket-specific models are feasible on the current time-and-pay data, before committing to a single-model approach in any brief.</w:t>
      </w:r>
    </w:p>
    <w:p>
      <w:pPr>
        <w:pStyle w:val="Heading2"/>
      </w:pPr>
      <w:r>
        <w:t>6. Open items for Noor and Thandiwe</w:t>
      </w:r>
    </w:p>
    <w:p>
      <w:r>
        <w:t>Noor — the multi-state bucket needs a state-by-state count before I can size the enforceability exposure meaningfully; the chat estimate was a placeholder, not an analysis. With sourcing and cross-checks now confirmed complete, there is no remaining blocker on our end to producing that count. Thandiwe — your enforceability flag is correct that the prior arbitration ruling does not automatically extend to later opt-ins; I have not yet mapped which opt-in states have case law cutting the other way and will circulate that as a follow-up, not folded into this memo, once the roster buckets above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