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Sable Ridge Holdings — Human Resources &amp; Executive Team</w:t>
            </w:r>
          </w:p>
        </w:tc>
      </w:tr>
      <w:tr>
        <w:tc>
          <w:tcPr>
            <w:tcW w:type="dxa" w:w="4320"/>
          </w:tcPr>
          <w:p>
            <w:r>
              <w:t>From:</w:t>
            </w:r>
          </w:p>
        </w:tc>
        <w:tc>
          <w:tcPr>
            <w:tcW w:type="dxa" w:w="4320"/>
          </w:tcPr>
          <w:p>
            <w:r>
              <w:t>Fionnuala Doherty, Partner, Employment</w:t>
            </w:r>
          </w:p>
        </w:tc>
      </w:tr>
      <w:tr>
        <w:tc>
          <w:tcPr>
            <w:tcW w:type="dxa" w:w="4320"/>
          </w:tcPr>
          <w:p>
            <w:r>
              <w:t>Re:</w:t>
            </w:r>
          </w:p>
        </w:tc>
        <w:tc>
          <w:tcPr>
            <w:tcW w:type="dxa" w:w="4320"/>
          </w:tcPr>
          <w:p>
            <w:r>
              <w:t>Reduction in Force Planning — Legal Guidance and Recommended Next Steps</w:t>
            </w:r>
          </w:p>
        </w:tc>
      </w:tr>
      <w:tr>
        <w:tc>
          <w:tcPr>
            <w:tcW w:type="dxa" w:w="4320"/>
          </w:tcPr>
          <w:p>
            <w:r>
              <w:t>Status:</w:t>
            </w:r>
          </w:p>
        </w:tc>
        <w:tc>
          <w:tcPr>
            <w:tcW w:type="dxa" w:w="4320"/>
          </w:tcPr>
          <w:p>
            <w:r>
              <w:t>Draft for internal review — not for distribution outside the planning group</w:t>
            </w:r>
          </w:p>
        </w:tc>
      </w:tr>
    </w:tbl>
    <w:p>
      <w:pPr>
        <w:pStyle w:val="Heading2"/>
      </w:pPr>
      <w:r>
        <w:t>1. Purpose</w:t>
      </w:r>
    </w:p>
    <w:p>
      <w:r>
        <w:t>This memo sets out the legal framework and practical steps Sable Ridge should follow as it plans a reduction in force (RIF). It covers disparate impact analysis, WARN Act notice obligations, severance and release strategy, and documentation practices designed to withstand later scrutiny. It is written to be usable by HR and by the executives approving the final list, not just by counsel.</w:t>
      </w:r>
    </w:p>
    <w:p>
      <w:pPr>
        <w:pStyle w:val="Heading2"/>
      </w:pPr>
      <w:r>
        <w:t>2. Threshold Legal Framework</w:t>
      </w:r>
    </w:p>
    <w:p>
      <w:pPr>
        <w:pStyle w:val="ListBullet"/>
      </w:pPr>
      <w:r>
        <w:t>Age Discrimination in Employment Act (ADEA): applies to employees 40 and older; disparate impact on this group must be tested statistically before any list is finalized.</w:t>
      </w:r>
    </w:p>
    <w:p>
      <w:pPr>
        <w:pStyle w:val="ListBullet"/>
      </w:pPr>
      <w:r>
        <w:t>Title VII and analogous state law: race, sex, national origin, religion, and other protected characteristics must be checked for disparate impact even where selection criteria appear neutral (e.g., performance ratings, tenure, role elimination).</w:t>
      </w:r>
    </w:p>
    <w:p>
      <w:pPr>
        <w:pStyle w:val="ListBullet"/>
      </w:pPr>
      <w:r>
        <w:t>WARN Act (federal) and any applicable state 'mini-WARN' statutes: trigger obligations depend on the number of employees affected, the size of the site, and the time window over which separations occur. We need current headcount by site to confirm whether WARN thresholds are met.</w:t>
      </w:r>
    </w:p>
    <w:p>
      <w:pPr>
        <w:pStyle w:val="ListBullet"/>
      </w:pPr>
      <w:r>
        <w:t>Older Workers Benefit Protection Act (OWBPA): governs the validity of releases signed by employees 40+, including the mandatory 45-day consideration period and disclosure requirements for group terminations.</w:t>
      </w:r>
    </w:p>
    <w:p>
      <w:pPr>
        <w:pStyle w:val="ListBullet"/>
      </w:pPr>
      <w:r>
        <w:t>State-specific severance and final-pay rules: timing of final paycheck, accrued PTO payout, and continuation of benefits vary by state and must be confirmed for every affected location before notices go out.</w:t>
      </w:r>
    </w:p>
    <w:p>
      <w:pPr>
        <w:pStyle w:val="Heading2"/>
      </w:pPr>
      <w:r>
        <w:t>3. Disparate Impact Analysis — Required Before Any List Is Final</w:t>
      </w:r>
    </w:p>
    <w:p>
      <w:r>
        <w:t>Before the selection list is presented to executives for sign-off, HR must run and document a statistical disparate impact analysis comparing the proposed group for separation against the retained workforce, broken out by age (40+), sex, race/ethnicity, and any other protected class tracked in HRIS. If any adverse impact ratio falls below the four-fifths threshold commonly used by the EEOC, we need to review the underlying selection criteria before proceeding — not after. This analysis should be run by HR or an outside statistician and shared with me in draft form before it is finalized, so it stays protected by privilege to the extent possible.</w:t>
      </w:r>
    </w:p>
    <w:p>
      <w:pPr>
        <w:pStyle w:val="Heading2"/>
      </w:pPr>
      <w:r>
        <w:t>4. Selection Criteria</w:t>
      </w:r>
    </w:p>
    <w:p>
      <w:r>
        <w:t>Selection criteria should be documented, applied consistently across all business units involved in the RIF, and tied to legitimate, non-discriminatory business reasons — position elimination, documented performance, or objective business need. Avoid criteria that correlate closely with protected characteristics (e.g., salary level alone can proxy for age or tenure). Each affected employee's file should include a short written rationale for their inclusion, prepared contemporaneously, not reconstructed after the fact.</w:t>
      </w:r>
    </w:p>
    <w:p>
      <w:pPr>
        <w:pStyle w:val="Heading2"/>
      </w:pPr>
      <w:r>
        <w:t>5. WARN Act Notice</w:t>
      </w:r>
    </w:p>
    <w:p>
      <w:r>
        <w:t>If the RIF meets WARN thresholds at any site, written notice must go to affected employees, the state dislocated worker unit, and the local government at least 60 days before the separation date. We need final headcount numbers by site and department to confirm applicability. If timing is compressed, we should discuss the faltering company or unforeseeable business circumstances exceptions now — not after notices are due — because those exceptions require their own contemporaneous documentation.</w:t>
      </w:r>
    </w:p>
    <w:p>
      <w:pPr>
        <w:pStyle w:val="Heading2"/>
      </w:pPr>
      <w:r>
        <w:t>6. Severance and Release Strategy</w:t>
      </w:r>
    </w:p>
    <w:p>
      <w:pPr>
        <w:pStyle w:val="ListNumber"/>
      </w:pPr>
      <w:r>
        <w:t>Offer severance conditioned on a signed release of claims for every affected employee, regardless of role.</w:t>
      </w:r>
    </w:p>
    <w:p>
      <w:pPr>
        <w:pStyle w:val="ListNumber"/>
      </w:pPr>
      <w:r>
        <w:t>For any employee 40 or older, the release must comply with OWBPA: 45-day consideration period for group terminations, 7-day revocation period, and required disclosure of the decisional unit, eligibility factors, and ages/job titles of those selected and not selected.</w:t>
      </w:r>
    </w:p>
    <w:p>
      <w:pPr>
        <w:pStyle w:val="ListNumber"/>
      </w:pPr>
      <w:r>
        <w:t>Severance amounts should follow a consistent, documented formula (e.g., weeks of pay by tenure) applied uniformly across the RIF group to avoid claims of individualized, discriminatory treatment.</w:t>
      </w:r>
    </w:p>
    <w:p>
      <w:pPr>
        <w:pStyle w:val="ListNumber"/>
      </w:pPr>
      <w:r>
        <w:t>Continuation of health coverage (COBRA) notice must go out within required timeframes; confirm whether Sable Ridge will subsidize premiums and for how long, since this affects the release consideration calculation.</w:t>
      </w:r>
    </w:p>
    <w:p>
      <w:pPr>
        <w:pStyle w:val="Heading2"/>
      </w:pPr>
      <w:r>
        <w:t>7. Documentation Practices</w:t>
      </w:r>
    </w:p>
    <w:p>
      <w:r>
        <w:t>Every decision point in this process should be documented as it happens, not reconstructed later. That means: dated memos recording the business rationale for the RIF itself, the disparate impact analysis and any resulting adjustments to the list, individual selection rationales, and a record of who reviewed and approved the final list. If this ends up in litigation, the file that was built contemporaneously is worth far more than anything written afterward.</w:t>
      </w:r>
    </w:p>
    <w:p>
      <w:pPr>
        <w:pStyle w:val="Heading2"/>
      </w:pPr>
      <w:r>
        <w:t>8. Recommended Next Steps</w:t>
      </w:r>
    </w:p>
    <w:p>
      <w:pPr>
        <w:pStyle w:val="ListNumber"/>
      </w:pPr>
      <w:r>
        <w:t>HR to pull current headcount by site, department, age, sex, and race/ethnicity for the proposed selection group and the retained workforce.</w:t>
      </w:r>
    </w:p>
    <w:p>
      <w:pPr>
        <w:pStyle w:val="ListNumber"/>
      </w:pPr>
      <w:r>
        <w:t>Run disparate impact analysis and share draft results with counsel before the list is presented to executives.</w:t>
      </w:r>
    </w:p>
    <w:p>
      <w:pPr>
        <w:pStyle w:val="ListNumber"/>
      </w:pPr>
      <w:r>
        <w:t>Confirm WARN Act applicability by site based on final headcount and timing.</w:t>
      </w:r>
    </w:p>
    <w:p>
      <w:pPr>
        <w:pStyle w:val="ListNumber"/>
      </w:pPr>
      <w:r>
        <w:t>Finalize severance formula and OWBPA-compliant release language for group termination disclosures.</w:t>
      </w:r>
    </w:p>
    <w:p>
      <w:pPr>
        <w:pStyle w:val="ListNumber"/>
      </w:pPr>
      <w:r>
        <w:t>Schedule a working session with HR and the executive sponsor to walk through selection rationale documentation before notices are drafted.</w:t>
      </w:r>
    </w:p>
    <w:p>
      <w:r>
        <w:t>Call me if easier.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