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Sable Ridge — General Counsel</w:t>
      </w:r>
    </w:p>
    <w:p>
      <w:r>
        <w:t>From: Fionnuala Doherty, Partner, Employment</w:t>
      </w:r>
    </w:p>
    <w:p>
      <w:r>
        <w:t>Re: Reduction in Force Planning — Selection Criteria, Disparate Impact Review, WARN Act, and Release Strategy</w:t>
      </w:r>
    </w:p>
    <w:p>
      <w:r>
        <w:t>Privileged and Confidential — Attorney Work Product</w:t>
      </w:r>
    </w:p>
    <w:p>
      <w:pPr>
        <w:pStyle w:val="Heading2"/>
      </w:pPr>
      <w:r>
        <w:t>1. Purpose</w:t>
      </w:r>
    </w:p>
    <w:p>
      <w:r>
        <w:t>This memo sets out the legal framework and recommended process for the planned reduction in force, addresses the disparate impact exposure in the current selection list, flags WARN Act notice obligations, and recommends a release and severance structure. It is intended to guide the decisions your leadership team needs to make before any notices go out, not to be a final word — I want to walk through this together before anyone talks to an employee.</w:t>
      </w:r>
    </w:p>
    <w:p>
      <w:pPr>
        <w:pStyle w:val="Heading2"/>
      </w:pPr>
      <w:r>
        <w:t>2. Background</w:t>
      </w:r>
    </w:p>
    <w:p>
      <w:r>
        <w:t>Sable Ridge has asked us to help plan a reduction affecting approximately 40-60 positions across the Operations and Customer Support functions, driven by the loss of the Meridian account and continued softness in renewal revenue. Leadership's working assumption is a single-event separation with notices going out within the next three to four weeks. That timeline is workable, but only if we lock the selection methodology and run the adverse impact numbers before the list is finalized — not after.</w:t>
      </w:r>
    </w:p>
    <w:p>
      <w:pPr>
        <w:pStyle w:val="Heading2"/>
      </w:pPr>
      <w:r>
        <w:t>3. Selection Criteria — Recommended Approach</w:t>
      </w:r>
    </w:p>
    <w:p>
      <w:r>
        <w:t>I recommend a documented, criteria-based selection process rather than manager discretion alone. Concretely:</w:t>
      </w:r>
    </w:p>
    <w:p>
      <w:pPr>
        <w:pStyle w:val="ListNumber"/>
      </w:pPr>
      <w:r>
        <w:t>Define the pool: all employees in the affected job families as of a fixed measurement date, not a rolling date managers can adjust after seeing results.</w:t>
      </w:r>
    </w:p>
    <w:p>
      <w:pPr>
        <w:pStyle w:val="ListNumber"/>
      </w:pPr>
      <w:r>
        <w:t>Score against objective factors — tenure, most recent performance rating, disciplinary history, and (where relevant) unique skill or certification requirements. Weight these factors in writing before anyone sees names attached to scores.</w:t>
      </w:r>
    </w:p>
    <w:p>
      <w:pPr>
        <w:pStyle w:val="ListNumber"/>
      </w:pPr>
      <w:r>
        <w:t>Have HR run the scoring pass blind to the extent feasible, then have a second reviewer (not the direct manager) sign off before names are finalized.</w:t>
      </w:r>
    </w:p>
    <w:p>
      <w:pPr>
        <w:pStyle w:val="ListNumber"/>
      </w:pPr>
      <w:r>
        <w:t>Keep every version of the list, with dates, so we can show the criteria were set before the results were known, not adjusted to reach a result.</w:t>
      </w:r>
    </w:p>
    <w:p>
      <w:r>
        <w:t>This is the single most important protective step available to us. A defensible RIF is one where we can show the criteria came first and the list followed — not the other way around.</w:t>
      </w:r>
    </w:p>
    <w:p>
      <w:pPr>
        <w:pStyle w:val="Heading2"/>
      </w:pPr>
      <w:r>
        <w:t>4. Disparate Impact Review</w:t>
      </w:r>
    </w:p>
    <w:p>
      <w:r>
        <w:t>Before any list is final, we need an adverse impact analysis by protected category (age, sex, race, and — given the roles — a specific look at the 40-and-older cohort, which is disproportionately represented in the current Operations tenure profile). The relevant test is the four-fifths rule: if the selection rate for any protected group is less than 80% of the rate for the most-favored group, that is a red flag requiring either a defensible business justification or a revision to the list.</w:t>
      </w:r>
    </w:p>
    <w:p>
      <w:r>
        <w:t>Please have HR pull, before our next call: headcount by department, by age band, by sex, and by race/ethnicity, both for the affected population and for the proposed separation list. I want that run before we're locked into names, not as a post-hoc defence. If the numbers come back flagged, we adjust — that is far cheaper now than after notices go out.</w:t>
      </w:r>
    </w:p>
    <w:p>
      <w:pPr>
        <w:pStyle w:val="Heading2"/>
      </w:pPr>
      <w:r>
        <w:t>5. WARN Act and State Mini-WARN Analysis</w:t>
      </w:r>
    </w:p>
    <w:p>
      <w:r>
        <w:t>Whether federal WARN notice is required turns on headcount at the affected site(s) and the size of the separation relative to that site's workforce. Based on what I have so far:</w:t>
      </w:r>
    </w:p>
    <w:p>
      <w:pPr>
        <w:pStyle w:val="ListBullet"/>
      </w:pPr>
      <w:r>
        <w:t>If the reduction is concentrated at a single site with 50 or more full-time employees, and affects 50 or more employees or one-third of that site's workforce (whichever threshold applies), federal WARN's 60-day notice requirement is likely triggered.</w:t>
      </w:r>
    </w:p>
    <w:p>
      <w:pPr>
        <w:pStyle w:val="ListBullet"/>
      </w:pPr>
      <w:r>
        <w:t>Several states in which Sable Ridge operates have mini-WARN statutes with lower headcount thresholds and, in some cases, longer notice periods — we need the site-by-site headcount to confirm which state statutes apply.</w:t>
      </w:r>
    </w:p>
    <w:p>
      <w:pPr>
        <w:pStyle w:val="ListBullet"/>
      </w:pPr>
      <w:r>
        <w:t>If notice is required and the 60-day runway isn't available, we should discuss the unforeseeable business circumstances exception now, not after the fact — it needs to be documented contemporaneously.</w:t>
      </w:r>
    </w:p>
    <w:p>
      <w:r>
        <w:t>Action item: send me a site-by-site headcount breakdown this week so we can confirm trigger thresholds before the timeline is set.</w:t>
      </w:r>
    </w:p>
    <w:p>
      <w:pPr>
        <w:pStyle w:val="Heading2"/>
      </w:pPr>
      <w:r>
        <w:t>6. Severance and Release Strategy</w:t>
      </w:r>
    </w:p>
    <w:p>
      <w:r>
        <w:t>I recommend a standard severance formula (rather than negotiated case-by-case amounts) tied to tenure, paired with a release of claims. Key points:</w:t>
      </w:r>
    </w:p>
    <w:p>
      <w:pPr>
        <w:pStyle w:val="ListNumber"/>
      </w:pPr>
      <w:r>
        <w:t>If 2 or more employees age 40+ are being separated in this event, OWBPA requirements apply: 45-day consideration period, 7-day revocation right, and the required disclosure showing job titles and ages of those selected and not selected within the decisional unit.</w:t>
      </w:r>
    </w:p>
    <w:p>
      <w:pPr>
        <w:pStyle w:val="ListNumber"/>
      </w:pPr>
      <w:r>
        <w:t>The decisional unit definition matters — define it now, consistently with the selection pool used for the disparate impact analysis in Section 4, so the two documents don't contradict each other.</w:t>
      </w:r>
    </w:p>
    <w:p>
      <w:pPr>
        <w:pStyle w:val="ListNumber"/>
      </w:pPr>
      <w:r>
        <w:t>Severance should be pegged to a formula (e.g., two weeks per year of service, minimum four weeks) that we can point to as consistently applied.</w:t>
      </w:r>
    </w:p>
    <w:p>
      <w:pPr>
        <w:pStyle w:val="Heading2"/>
      </w:pPr>
      <w:r>
        <w:t>7. Process and Documentation</w:t>
      </w:r>
    </w:p>
    <w:p>
      <w:r>
        <w:t>Every decision point in this process should leave a paper trail: the criteria memo, the scoring worksheets, the adverse impact run, and sign-off from someone outside the direct chain of the affected employees. I will circulate a decision log template separately so this is contemporaneous, not reconstructed later.</w:t>
      </w:r>
    </w:p>
    <w:p>
      <w:pPr>
        <w:pStyle w:val="Heading2"/>
      </w:pPr>
      <w:r>
        <w:t>8. Recommended Next Steps</w:t>
      </w:r>
    </w:p>
    <w:p>
      <w:pPr>
        <w:pStyle w:val="ListNumber"/>
      </w:pPr>
      <w:r>
        <w:t>HR to send site-by-site headcount and affected-population demographic breakdown by end of week.</w:t>
      </w:r>
    </w:p>
    <w:p>
      <w:pPr>
        <w:pStyle w:val="ListNumber"/>
      </w:pPr>
      <w:r>
        <w:t>Confirm measurement date and lock selection criteria in writing before scoring begins.</w:t>
      </w:r>
    </w:p>
    <w:p>
      <w:pPr>
        <w:pStyle w:val="ListNumber"/>
      </w:pPr>
      <w:r>
        <w:t>Run four-fifths adverse impact test on draft list before it is treated as final.</w:t>
      </w:r>
    </w:p>
    <w:p>
      <w:pPr>
        <w:pStyle w:val="ListNumber"/>
      </w:pPr>
      <w:r>
        <w:t>Confirm WARN/mini-WARN trigger once headcount data is in; build notice timeline backward from target separation date.</w:t>
      </w:r>
    </w:p>
    <w:p>
      <w:pPr>
        <w:pStyle w:val="ListNumber"/>
      </w:pPr>
      <w:r>
        <w:t>Finalize severance formula and draft release/OWBPA disclosure once decisional unit is set.</w:t>
      </w:r>
    </w:p>
    <w:p>
      <w:r>
        <w:t>Call me if easier — happy to walk leadership through this before it goes any further.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