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III. Substantive Analysis: Choice of Law</w:t>
      </w:r>
    </w:p>
    <w:p>
      <w:r>
        <w:t>This section begins the substantive choice-of-law analysis for the meal-break claims at issue. Sourcing for the governing-law question has been traced to Harrow and confirmed closed by the group; accordingly, this draft proceeds on the basis that no further authority-tracing work is outstanding on that thread. This is a working draft of the analysis and is circulated for comment before integration into the full memo.</w:t>
      </w:r>
    </w:p>
    <w:p>
      <w:pPr>
        <w:pStyle w:val="Heading2"/>
      </w:pPr>
      <w:r>
        <w:t>A. Framing the Question</w:t>
      </w:r>
    </w:p>
    <w:p>
      <w:r>
        <w:t>The threshold issue is which state's meal-break and rest-period law governs claims brought by drivers who performed work in more than one jurisdiction during the relevant period. The analysis below proceeds under the framework confirmed in Harrow, which the group has treated as the controlling source for the choice-of-law standard applicable here. This draft does not revisit whether Harrow is the correct source; that determination was made and closed at the group level, and this section takes it as settled.</w:t>
      </w:r>
    </w:p>
    <w:p>
      <w:pPr>
        <w:pStyle w:val="Heading2"/>
      </w:pPr>
      <w:r>
        <w:t>B. The Harrow Framework</w:t>
      </w:r>
    </w:p>
    <w:p>
      <w:r>
        <w:t>This may be nothing, but I want to flag it before building further on it: I am proceeding from the understanding that Harrow supplies a most-significant-relationship style test, weighing (i) the place of the alleged injury (i.e., where the missed or short meal periods occurred), (ii) the place of the conduct causing the injury (i.e., where scheduling and break policies were set and administered), (iii) the domicile/place of business of the parties, and (iv) the place where the employment relationship is centered. Per Hyunwoo's confirmation, this four-factor statement of the Harrow test has now been re-verified against the underlying citation, so I no longer treat this as an open re-verification item in this draft. I am still relying on the group's prior sourcing and sign-off as to the correctness of the underlying source itself, consistent with Section I's closed status.</w:t>
      </w:r>
    </w:p>
    <w:p>
      <w:pPr>
        <w:pStyle w:val="Heading2"/>
      </w:pPr>
      <w:r>
        <w:t>C. Application to the Driver Population</w:t>
      </w:r>
    </w:p>
    <w:p>
      <w:r>
        <w:t>Applying the framework to the driver population at issue, the following considerations bear on the analysis:</w:t>
      </w:r>
    </w:p>
    <w:p>
      <w:pPr>
        <w:pStyle w:val="ListNumber"/>
      </w:pPr>
      <w:r>
        <w:t>Place of alleged injury: drivers' routes and the meal-break events themselves span multiple states, which weighs against any single-state default and favors a driver-by-driver or route-segment analysis rather than a company-wide choice-of-law rule.</w:t>
      </w:r>
    </w:p>
    <w:p>
      <w:pPr>
        <w:pStyle w:val="ListNumber"/>
      </w:pPr>
      <w:r>
        <w:t>Place of conduct causing injury: scheduling and break policies appear to have been set and administered centrally, which under the Harrow factors would tend to favor the law of the state where that administration occurred, subject to confirmation of where that administration in fact took place.</w:t>
      </w:r>
    </w:p>
    <w:p>
      <w:pPr>
        <w:pStyle w:val="ListNumber"/>
      </w:pPr>
      <w:r>
        <w:t>Domicile/place of business: this factor requires confirming each named driver's state of hire and primary reporting location. Per today's EOD status from Hyunwoo, the roster chase has moved forward, but I do not yet have final confirmation that the full roster is in hand for this draft, so I am holding this factor open pending that confirmation.</w:t>
      </w:r>
    </w:p>
    <w:p>
      <w:pPr>
        <w:pStyle w:val="ListNumber"/>
      </w:pPr>
      <w:r>
        <w:t>Center of the employment relationship: likely to track the domicile factor above, pending the same confirmation.</w:t>
      </w:r>
    </w:p>
    <w:p>
      <w:r>
        <w:t>I have deliberately left the domicile and center-of-relationship factors as open placeholders rather than filling them with assumed values. The earlier placeholder mix-up identified elsewhere in the file (the cite-check/declaration pull workbook) has since been addressed, but out of caution I am still holding these two factors open here rather than asserting driver-specific facts I have not confirmed. This may be overcautious; happy to move faster on this if the group would rather I use the roster we already have and flag any drivers who turn out to be exceptions.</w:t>
      </w:r>
    </w:p>
    <w:p>
      <w:pPr>
        <w:pStyle w:val="Heading2"/>
      </w:pPr>
      <w:r>
        <w:t>D. Preliminary Conclusion (Subject to Revision)</w:t>
      </w:r>
    </w:p>
    <w:p>
      <w:r>
        <w:t>On the present record, and subject to the open factual confirmations noted above, the analysis under Harrow does not appear to support a single governing-law answer for the entire driver population. A segmented approach — grouping drivers by primary reporting state and applying the Harrow factors within each group — appears more defensible than a single-jurisdiction rule, but I would want a second read on this before it goes into the body of the memo.</w:t>
      </w:r>
    </w:p>
    <w:p>
      <w:pPr>
        <w:pStyle w:val="Heading2"/>
      </w:pPr>
      <w:r>
        <w:t>E. Open Items for This Section</w:t>
      </w:r>
    </w:p>
    <w:p>
      <w:pPr>
        <w:pStyle w:val="ListBullet"/>
      </w:pPr>
      <w:r>
        <w:t>Confirm driver domicile/primary reporting state roster — chase has progressed per today's status update; final confirmation not yet in hand for this draft.</w:t>
      </w:r>
    </w:p>
    <w:p>
      <w:pPr>
        <w:pStyle w:val="ListBullet"/>
      </w:pPr>
      <w:r>
        <w:t>Re-verify the four-factor statement of the Harrow test against the underlying citation before this section is finalized. UPDATE: confirmed by Hyunwoo; this item is now closed.</w:t>
      </w:r>
    </w:p>
    <w:p>
      <w:pPr>
        <w:pStyle w:val="ListBullet"/>
      </w:pPr>
      <w:r>
        <w:t>Coordinate with the driver deposition transcript workstream regarding chain-of-access on the Deshmukh materials, since transcript content may bear on the 'place of conduct' factor. UPDATE: chain-of-access on Deshmukh has been resolved per today's confirmation; this coordination item is now closed.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