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Sable Ridge — VP People &amp; General Counsel</w:t>
            </w:r>
          </w:p>
        </w:tc>
      </w:tr>
      <w:tr>
        <w:tc>
          <w:tcPr>
            <w:tcW w:type="dxa" w:w="4320"/>
          </w:tcPr>
          <w:p>
            <w:r>
              <w:t>From</w:t>
            </w:r>
          </w:p>
        </w:tc>
        <w:tc>
          <w:tcPr>
            <w:tcW w:type="dxa" w:w="4320"/>
          </w:tcPr>
          <w:p>
            <w:r>
              <w:t>Fionnuala Doherty</w:t>
            </w:r>
          </w:p>
        </w:tc>
      </w:tr>
      <w:tr>
        <w:tc>
          <w:tcPr>
            <w:tcW w:type="dxa" w:w="4320"/>
          </w:tcPr>
          <w:p>
            <w:r>
              <w:t>Re</w:t>
            </w:r>
          </w:p>
        </w:tc>
        <w:tc>
          <w:tcPr>
            <w:tcW w:type="dxa" w:w="4320"/>
          </w:tcPr>
          <w:p>
            <w:r>
              <w:t>Reduction in Force — Selection Criteria, Disparate Impact Screen, and WARN Act Analysis</w:t>
            </w:r>
          </w:p>
        </w:tc>
      </w:tr>
      <w:tr>
        <w:tc>
          <w:tcPr>
            <w:tcW w:type="dxa" w:w="4320"/>
          </w:tcPr>
          <w:p>
            <w:r>
              <w:t>Status</w:t>
            </w:r>
          </w:p>
        </w:tc>
        <w:tc>
          <w:tcPr>
            <w:tcW w:type="dxa" w:w="4320"/>
          </w:tcPr>
          <w:p>
            <w:r>
              <w:t>Draft for internal review — census received and disparate impact screen run; awaiting confirmation on one open investigation before final sign-off</w:t>
            </w:r>
          </w:p>
        </w:tc>
      </w:tr>
    </w:tbl>
    <w:p>
      <w:pPr>
        <w:pStyle w:val="Heading2"/>
      </w:pPr>
      <w:r>
        <w:t>1. Purpose</w:t>
      </w:r>
    </w:p>
    <w:p>
      <w:r>
        <w:t>This memo sets out the recommended approach for the planned reduction in force, covering selection criteria, the statistical disparate impact screen, WARN Act notice obligations, and the severance and release package. The disparate impact screen has now been run against the full census provided by People Ops. Final sign-off is pending resolution of one open item flagged in Section 4A below.</w:t>
      </w:r>
    </w:p>
    <w:p>
      <w:pPr>
        <w:pStyle w:val="Heading2"/>
      </w:pPr>
      <w:r>
        <w:t>2. Scope of the Reduction</w:t>
      </w:r>
    </w:p>
    <w:p>
      <w:r>
        <w:t>Based on the numbers provided by Finance and People Ops, the current plan contemplates eliminating 47 positions across three locations: Distribution Center East (22), Distribution Center West (14), and the Chicago corporate office (11). This represents roughly 9% of the workforce at the two distribution centers combined and 6% of corporate headcount.</w:t>
      </w:r>
    </w:p>
    <w:p>
      <w:pPr>
        <w:pStyle w:val="Heading2"/>
      </w:pPr>
      <w:r>
        <w:t>3. Selection Criteria</w:t>
      </w:r>
    </w:p>
    <w:p>
      <w:r>
        <w:t>I recommend the following criteria, applied in this order, and documented in writing for every employee considered — not just the ones selected:</w:t>
      </w:r>
    </w:p>
    <w:p>
      <w:pPr>
        <w:pStyle w:val="ListNumber"/>
      </w:pPr>
      <w:r>
        <w:t>Elimination of role/function (not the person) — identify which positions are being eliminated as a business matter first, independent of who holds them.</w:t>
      </w:r>
    </w:p>
    <w:p>
      <w:pPr>
        <w:pStyle w:val="ListNumber"/>
      </w:pPr>
      <w:r>
        <w:t>Where multiple employees hold the same role and not all are eliminated, rank by: (a) documented performance ratings from the last two review cycles, (b) disciplinary history, (c) skills/certifications relevant to the retained function, (d) seniority as a tiebreaker only.</w:t>
      </w:r>
    </w:p>
    <w:p>
      <w:pPr>
        <w:pStyle w:val="ListNumber"/>
      </w:pPr>
      <w:r>
        <w:t>No criterion may reference age, protected leave usage, accommodation requests, or pending complaints. If a manager's stated rationale references any of these, that selection gets kicked back for rework before it goes on the list.</w:t>
      </w:r>
    </w:p>
    <w:p>
      <w:pPr>
        <w:pStyle w:val="Heading2"/>
      </w:pPr>
      <w:r>
        <w:t>4. Disparate Impact Screen — Results</w:t>
      </w:r>
    </w:p>
    <w:p>
      <w:r>
        <w:t>People Ops sent the full census (age, race, sex, department, location, selection status) and the screen has now been run for age (40+ vs. under 40), race/ethnicity, and sex, at each location and department, using the four-fifths rule (selection rate for the protected group divided by selection rate for the comparison group; a result below 80% is a red flag).</w:t>
      </w:r>
    </w:p>
    <w:p>
      <w:r>
        <w:t>Preliminary results are clean at Distribution Center West and Chicago corporate — no ratio falls below the 80% threshold in either location. Distribution Center East shows a ratio in the age 40+ category that sits close to the threshold and needs a second look before the list is finalized; I've asked the outside statistician to confirm the exact figure and will circulate before Friday's sign-off. This remains the single biggest exposure point in the RIF and nothing on the East list should be treated as final until that number is confirmed clean or justified.</w:t>
      </w:r>
    </w:p>
    <w:p>
      <w:pPr>
        <w:pStyle w:val="Heading2"/>
      </w:pPr>
      <w:r>
        <w:t>4A. Open Item — Pending Harassment Investigation</w:t>
      </w:r>
    </w:p>
    <w:p>
      <w:r>
        <w:t>There is an active harassment investigation involving an employee currently on the Distribution Center East selection list, raised in Harriet Lindqvist's recent staff complaint inquiry. Selecting this individual while the investigation is open creates a straightforward retaliation argument regardless of how clean the individual's underlying performance record is. Recommendation: hold this one name off the list until the investigation reaches a documented conclusion, and if the role is otherwise eliminated, document that the timing is coincidental and driven by the independent business decision made in Section 3, Step 1. I flagged this in my email exchange with Harriet and we're aligned on holding the name pending status confirmation — call me if that's changed since we last spoke.</w:t>
      </w:r>
    </w:p>
    <w:p>
      <w:pPr>
        <w:pStyle w:val="Heading2"/>
      </w:pPr>
      <w:r>
        <w:t>5. WARN Act Analysis</w:t>
      </w:r>
    </w:p>
    <w:p>
      <w:r>
        <w:t>Federal WARN applies to employers with 100+ employees where a single site of employment loses 50+ full-time employees in a 30-day window (or 500+ in a rolling 90-day window if aggregation applies), or where the reduction affects 33% of the workforce at that site and at least 50 employees. With final headcounts and effective dates now confirmed:</w:t>
      </w:r>
    </w:p>
    <w:p>
      <w:pPr>
        <w:pStyle w:val="ListBullet"/>
      </w:pPr>
      <w:r>
        <w:t>Distribution Center East (22 of 245 employees, effective the same date as DC West below): below both thresholds on its own.</w:t>
      </w:r>
    </w:p>
    <w:p>
      <w:pPr>
        <w:pStyle w:val="ListBullet"/>
      </w:pPr>
      <w:r>
        <w:t>Distribution Center West (14 of 160 employees, effective within the same 90-day window as DC East): below threshold on its own.</w:t>
      </w:r>
    </w:p>
    <w:p>
      <w:pPr>
        <w:pStyle w:val="ListBullet"/>
      </w:pPr>
      <w:r>
        <w:t>Chicago corporate (11 of 180 employees): below threshold.</w:t>
      </w:r>
    </w:p>
    <w:p>
      <w:pPr>
        <w:pStyle w:val="ListBullet"/>
      </w:pPr>
      <w:r>
        <w:t>Confirmed: DC East and DC West effective dates are 11 days apart and were made as part of a single business decision, so they aggregate under the 90-day rolling window rule. Combined, that's 36 of the two sites' roughly 405 employees — still below the 50-employee federal trigger, so no federal WARN notice is required, but the aggregation analysis is now documented in case headcount shifts before the notification date.</w:t>
      </w:r>
    </w:p>
    <w:p>
      <w:pPr>
        <w:pStyle w:val="ListBullet"/>
      </w:pPr>
      <w:r>
        <w:t>Illinois mini-WARN (25-employee threshold) does not apply to the 11-person Chicago reduction on current numbers, but this should be rechecked if Chicago headcount changes before sign-off.</w:t>
      </w:r>
    </w:p>
    <w:p>
      <w:r>
        <w:t>Recommendation stands: treat this as WARN-adjacent even though it doesn't strictly trigger, and give affected employees as much runway as the business can tolerate. A close call handled generously costs less than a close call litigated.</w:t>
      </w:r>
    </w:p>
    <w:p>
      <w:pPr>
        <w:pStyle w:val="Heading2"/>
      </w:pPr>
      <w:r>
        <w:t>6. Severance and Release Package</w:t>
      </w:r>
    </w:p>
    <w:p>
      <w:r>
        <w:t>Recommend a tiered severance schedule (2 weeks base + 1 week per year of service, capped at 16 weeks) conditioned on a signed release. For employees 40 and older, the release must comply with the Older Workers Benefit Protection Act: 45 days to consider (since this is a group termination), 7-day revocation period, and disclosure of the ages and job titles of everyone selected and not selected in the decisional unit. That disclosure obligation is itself a reason the disparate impact screen and the DC East follow-up in Section 4 need to be clean before we send anything.</w:t>
      </w:r>
    </w:p>
    <w:p>
      <w:pPr>
        <w:pStyle w:val="Heading2"/>
      </w:pPr>
      <w:r>
        <w:t>7. Timeline</w:t>
      </w:r>
    </w:p>
    <w:tbl>
      <w:tblPr>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Owner</w:t>
            </w:r>
          </w:p>
        </w:tc>
        <w:tc>
          <w:tcPr>
            <w:tcW w:type="dxa" w:w="2160"/>
          </w:tcPr>
          <w:p>
            <w:r>
              <w:t>Target Date</w:t>
            </w:r>
          </w:p>
        </w:tc>
        <w:tc>
          <w:tcPr>
            <w:tcW w:type="dxa" w:w="2160"/>
          </w:tcPr>
          <w:p>
            <w:r>
              <w:t>Status</w:t>
            </w:r>
          </w:p>
        </w:tc>
      </w:tr>
      <w:tr>
        <w:tc>
          <w:tcPr>
            <w:tcW w:type="dxa" w:w="2160"/>
          </w:tcPr>
          <w:p>
            <w:r>
              <w:t>Finalize selection lists by department</w:t>
            </w:r>
          </w:p>
        </w:tc>
        <w:tc>
          <w:tcPr>
            <w:tcW w:type="dxa" w:w="2160"/>
          </w:tcPr>
          <w:p>
            <w:r>
              <w:t>People Ops / Department Heads</w:t>
            </w:r>
          </w:p>
        </w:tc>
        <w:tc>
          <w:tcPr>
            <w:tcW w:type="dxa" w:w="2160"/>
          </w:tcPr>
          <w:p>
            <w:r>
              <w:t>This Thursday</w:t>
            </w:r>
          </w:p>
        </w:tc>
        <w:tc>
          <w:tcPr>
            <w:tcW w:type="dxa" w:w="2160"/>
          </w:tcPr>
          <w:p>
            <w:r>
              <w:t>Complete, pending DC East hold per Section 4A</w:t>
            </w:r>
          </w:p>
        </w:tc>
      </w:tr>
      <w:tr>
        <w:tc>
          <w:tcPr>
            <w:tcW w:type="dxa" w:w="2160"/>
          </w:tcPr>
          <w:p>
            <w:r>
              <w:t>Run disparate impact screen</w:t>
            </w:r>
          </w:p>
        </w:tc>
        <w:tc>
          <w:tcPr>
            <w:tcW w:type="dxa" w:w="2160"/>
          </w:tcPr>
          <w:p>
            <w:r>
              <w:t>Doherty / outside statistician</w:t>
            </w:r>
          </w:p>
        </w:tc>
        <w:tc>
          <w:tcPr>
            <w:tcW w:type="dxa" w:w="2160"/>
          </w:tcPr>
          <w:p>
            <w:r>
              <w:t>Friday</w:t>
            </w:r>
          </w:p>
        </w:tc>
        <w:tc>
          <w:tcPr>
            <w:tcW w:type="dxa" w:w="2160"/>
          </w:tcPr>
          <w:p>
            <w:r>
              <w:t>Complete — DC East ratio under second review</w:t>
            </w:r>
          </w:p>
        </w:tc>
      </w:tr>
      <w:tr>
        <w:tc>
          <w:tcPr>
            <w:tcW w:type="dxa" w:w="2160"/>
          </w:tcPr>
          <w:p>
            <w:r>
              <w:t>Legal sign-off on final lists</w:t>
            </w:r>
          </w:p>
        </w:tc>
        <w:tc>
          <w:tcPr>
            <w:tcW w:type="dxa" w:w="2160"/>
          </w:tcPr>
          <w:p>
            <w:r>
              <w:t>Doherty</w:t>
            </w:r>
          </w:p>
        </w:tc>
        <w:tc>
          <w:tcPr>
            <w:tcW w:type="dxa" w:w="2160"/>
          </w:tcPr>
          <w:p>
            <w:r>
              <w:t>Following Monday</w:t>
            </w:r>
          </w:p>
        </w:tc>
        <w:tc>
          <w:tcPr>
            <w:tcW w:type="dxa" w:w="2160"/>
          </w:tcPr>
          <w:p>
            <w:r>
              <w:t>Pending DC East confirmation and investigation status</w:t>
            </w:r>
          </w:p>
        </w:tc>
      </w:tr>
      <w:tr>
        <w:tc>
          <w:tcPr>
            <w:tcW w:type="dxa" w:w="2160"/>
          </w:tcPr>
          <w:p>
            <w:r>
              <w:t>Draft OWBPA-compliant release and disclosure exhibit</w:t>
            </w:r>
          </w:p>
        </w:tc>
        <w:tc>
          <w:tcPr>
            <w:tcW w:type="dxa" w:w="2160"/>
          </w:tcPr>
          <w:p>
            <w:r>
              <w:t>Doherty</w:t>
            </w:r>
          </w:p>
        </w:tc>
        <w:tc>
          <w:tcPr>
            <w:tcW w:type="dxa" w:w="2160"/>
          </w:tcPr>
          <w:p>
            <w:r>
              <w:t>Following Tuesday</w:t>
            </w:r>
          </w:p>
        </w:tc>
        <w:tc>
          <w:tcPr>
            <w:tcW w:type="dxa" w:w="2160"/>
          </w:tcPr>
          <w:p>
            <w:r>
              <w:t>Not started</w:t>
            </w:r>
          </w:p>
        </w:tc>
      </w:tr>
      <w:tr>
        <w:tc>
          <w:tcPr>
            <w:tcW w:type="dxa" w:w="2160"/>
          </w:tcPr>
          <w:p>
            <w:r>
              <w:t>Manager briefing and talking points</w:t>
            </w:r>
          </w:p>
        </w:tc>
        <w:tc>
          <w:tcPr>
            <w:tcW w:type="dxa" w:w="2160"/>
          </w:tcPr>
          <w:p>
            <w:r>
              <w:t>People Ops</w:t>
            </w:r>
          </w:p>
        </w:tc>
        <w:tc>
          <w:tcPr>
            <w:tcW w:type="dxa" w:w="2160"/>
          </w:tcPr>
          <w:p>
            <w:r>
              <w:t>Following Wednesday</w:t>
            </w:r>
          </w:p>
        </w:tc>
        <w:tc>
          <w:tcPr>
            <w:tcW w:type="dxa" w:w="2160"/>
          </w:tcPr>
          <w:p>
            <w:r>
              <w:t>Not started</w:t>
            </w:r>
          </w:p>
        </w:tc>
      </w:tr>
      <w:tr>
        <w:tc>
          <w:tcPr>
            <w:tcW w:type="dxa" w:w="2160"/>
          </w:tcPr>
          <w:p>
            <w:r>
              <w:t>Notification day</w:t>
            </w:r>
          </w:p>
        </w:tc>
        <w:tc>
          <w:tcPr>
            <w:tcW w:type="dxa" w:w="2160"/>
          </w:tcPr>
          <w:p>
            <w:r>
              <w:t>People Ops / Managers</w:t>
            </w:r>
          </w:p>
        </w:tc>
        <w:tc>
          <w:tcPr>
            <w:tcW w:type="dxa" w:w="2160"/>
          </w:tcPr>
          <w:p>
            <w:r>
              <w:t>Following Thursday</w:t>
            </w:r>
          </w:p>
        </w:tc>
        <w:tc>
          <w:tcPr>
            <w:tcW w:type="dxa" w:w="2160"/>
          </w:tcPr>
          <w:p>
            <w:r>
              <w:t>Not started</w:t>
            </w:r>
          </w:p>
        </w:tc>
      </w:tr>
    </w:tbl>
    <w:p>
      <w:pPr>
        <w:pStyle w:val="Heading2"/>
      </w:pPr>
      <w:r>
        <w:t>8. Immediate Next Step</w:t>
      </w:r>
    </w:p>
    <w:p>
      <w:r>
        <w:t>Two items are outstanding before this can move to sign-off: (1) confirmation from the outside statistician on the DC East age-40+ ratio, and (2) status of the pending harassment investigation flagged in Section 4A, so we know whether that individual's name comes off the list permanently or is simply deferred. Nothing else on this list should move until both are resolved. 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